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80"/>
      </w:pPr>
      <w:r>
        <w:t xml:space="preserve"/>
      </w:r>
    </w:p>
    <w:p>
      <w:pPr>
        <w:pStyle w:val="Heading1"/>
        <w:spacing w:after="200" w:before="0"/>
      </w:pPr>
      <w:r>
        <w:rPr>
          <w:rFonts w:ascii="Arial" w:cs="Arial" w:eastAsia="Arial" w:hAnsi="Arial"/>
          <w:b/>
          <w:bCs/>
          <w:color w:val="0F2E4C"/>
          <w:sz w:val="52"/>
          <w:szCs w:val="52"/>
        </w:rPr>
        <w:t xml:space="preserve">Funding a PAES Lab: United Kingdom</w:t>
      </w:r>
    </w:p>
    <w:p>
      <w:pPr>
        <w:spacing w:after="240"/>
      </w:pPr>
      <w:r>
        <w:rPr>
          <w:rFonts w:ascii="Arial" w:cs="Arial" w:eastAsia="Arial" w:hAnsi="Arial"/>
          <w:color w:val="333333"/>
          <w:sz w:val="24"/>
          <w:szCs w:val="24"/>
        </w:rPr>
        <w:t xml:space="preserve">National and devolved funding streams for schools, local authorities, specialist colleges, and independent providers across the UK.</w:t>
      </w:r>
    </w:p>
    <w:p>
      <w:pPr>
        <w:spacing w:after="80"/>
      </w:pPr>
      <w:r>
        <w:rPr>
          <w:rFonts w:ascii="Arial" w:cs="Arial" w:eastAsia="Arial" w:hAnsi="Arial"/>
          <w:color w:val="6B7280"/>
          <w:sz w:val="20"/>
          <w:szCs w:val="20"/>
        </w:rPr>
        <w:t xml:space="preserve">April 2026</w:t>
      </w:r>
    </w:p>
    <w:p>
      <w:r>
        <w:br w:type="page"/>
      </w:r>
    </w:p>
    <w:p>
      <w:pPr>
        <w:pStyle w:val="Heading2"/>
      </w:pPr>
      <w:r>
        <w:rPr>
          <w:rFonts w:ascii="Arial" w:cs="Arial" w:eastAsia="Arial" w:hAnsi="Arial"/>
          <w:b/>
          <w:bCs/>
          <w:color w:val="0F2E4C"/>
          <w:sz w:val="30"/>
          <w:szCs w:val="30"/>
        </w:rPr>
        <w:t xml:space="preserve">About this document</w:t>
      </w:r>
    </w:p>
    <w:p>
      <w:pPr>
        <w:spacing w:after="80" w:before="80"/>
      </w:pPr>
      <w:r>
        <w:t xml:space="preserve">This guide sets out the funding routes a school, district, college, or community provider can use to install and run a PAES Lab in the United Kingdom. It covers national programmes, regional allocations, and the philanthropic and community sources that often get missed.</w:t>
      </w:r>
    </w:p>
    <w:p>
      <w:pPr>
        <w:spacing w:after="80" w:before="80"/>
      </w:pPr>
      <w:r>
        <w:rPr>
          <w:rFonts w:ascii="Arial" w:cs="Arial" w:eastAsia="Arial" w:hAnsi="Arial"/>
          <w:b/>
          <w:bCs/>
          <w:color w:val="0F2E4C"/>
          <w:sz w:val="22"/>
          <w:szCs w:val="22"/>
        </w:rPr>
        <w:t xml:space="preserve">How to use it</w:t>
      </w:r>
    </w:p>
    <w:p>
      <w:pPr>
        <w:pStyle w:val="ListParagraph"/>
        <w:numPr>
          <w:ilvl w:val="0"/>
          <w:numId w:val="2"/>
        </w:numPr>
        <w:spacing w:after="40" w:before="40"/>
      </w:pPr>
      <w:r>
        <w:t xml:space="preserve">Jump to the section for your location using the table of contents below.</w:t>
      </w:r>
    </w:p>
    <w:p>
      <w:pPr>
        <w:pStyle w:val="ListParagraph"/>
        <w:numPr>
          <w:ilvl w:val="0"/>
          <w:numId w:val="2"/>
        </w:numPr>
        <w:spacing w:after="40" w:before="40"/>
      </w:pPr>
      <w:r>
        <w:t xml:space="preserve">Each entry names the agency, explains what the funding stream is, and shows why PAES qualifies as an eligible use.</w:t>
      </w:r>
    </w:p>
    <w:p>
      <w:pPr>
        <w:pStyle w:val="ListParagraph"/>
        <w:numPr>
          <w:ilvl w:val="0"/>
          <w:numId w:val="2"/>
        </w:numPr>
        <w:spacing w:after="40" w:before="40"/>
      </w:pPr>
      <w:r>
        <w:t xml:space="preserve">Stack sources. Most PAES Labs are paid for by combining two or three streams, not one.</w:t>
      </w:r>
    </w:p>
    <w:p>
      <w:pPr>
        <w:pStyle w:val="ListParagraph"/>
        <w:numPr>
          <w:ilvl w:val="0"/>
          <w:numId w:val="2"/>
        </w:numPr>
        <w:spacing w:after="40" w:before="40"/>
      </w:pPr>
      <w:r>
        <w:t xml:space="preserve">If a programme name has changed (they often do), the named agency will have the current equivalent.</w:t>
      </w:r>
    </w:p>
    <w:p>
      <w:pPr>
        <w:spacing w:after="80" w:before="240"/>
      </w:pPr>
      <w: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single" w:color="0F2E4C" w:sz="4"/>
              <w:left w:val="single" w:color="D9A441" w:sz="24"/>
              <w:bottom w:val="single" w:color="0F2E4C" w:sz="4"/>
              <w:right w:val="single" w:color="0F2E4C" w:sz="4"/>
            </w:tcBorders>
            <w:shd w:fill="0F2E4C" w:color="auto" w:val="clear"/>
            <w:tcMar>
              <w:top w:type="dxa" w:w="240"/>
              <w:left w:type="dxa" w:w="320"/>
              <w:bottom w:type="dxa" w:w="240"/>
              <w:right w:type="dxa" w:w="320"/>
            </w:tcMar>
          </w:tcPr>
          <w:p>
            <w:pPr>
              <w:spacing w:after="80"/>
            </w:pPr>
            <w:r>
              <w:rPr>
                <w:rFonts w:ascii="Arial" w:cs="Arial" w:eastAsia="Arial" w:hAnsi="Arial"/>
                <w:b/>
                <w:bCs/>
                <w:caps/>
                <w:color w:val="D9A441"/>
                <w:sz w:val="18"/>
                <w:szCs w:val="18"/>
              </w:rPr>
              <w:t xml:space="preserve">WANT A CONVERSATION ABOUT HOW THIS COULD WORK FOR YOU?</w:t>
            </w:r>
          </w:p>
          <w:p>
            <w:pPr>
              <w:spacing w:after="80"/>
            </w:pPr>
            <w:r>
              <w:rPr>
                <w:rFonts w:ascii="Arial" w:cs="Arial" w:eastAsia="Arial" w:hAnsi="Arial"/>
                <w:color w:val="FFFFFF"/>
                <w:sz w:val="22"/>
                <w:szCs w:val="22"/>
              </w:rPr>
              <w:t xml:space="preserve">We help schools, districts, and colleges find the right funding mix, draft the justification, and connect you with a regional rep who knows your state or region.</w:t>
            </w:r>
          </w:p>
          <w:p>
            <w:pPr>
              <w:spacing w:after="40"/>
            </w:pPr>
            <w:r>
              <w:rPr>
                <w:rFonts w:ascii="Arial" w:cs="Arial" w:eastAsia="Arial" w:hAnsi="Arial"/>
                <w:b/>
                <w:bCs/>
                <w:color w:val="FFFFFF"/>
                <w:sz w:val="22"/>
                <w:szCs w:val="22"/>
              </w:rPr>
              <w:t xml:space="preserve">Rebekkah Swisher, President, PAES Productions</w:t>
            </w:r>
          </w:p>
          <w:p>
            <w:r>
              <w:rPr>
                <w:rFonts w:ascii="Arial" w:cs="Arial" w:eastAsia="Arial" w:hAnsi="Arial"/>
                <w:color w:val="FFFFFF"/>
                <w:sz w:val="22"/>
                <w:szCs w:val="22"/>
              </w:rPr>
              <w:t xml:space="preserve">805-286-7513  ·  info@paesauthor.com  ·  </w:t>
            </w:r>
            <w:hyperlink w:history="1" r:id="rIdlfscqlt494b8_ohzl9jgv">
              <w:r>
                <w:rPr>
                  <w:rFonts w:ascii="Arial" w:cs="Arial" w:eastAsia="Arial" w:hAnsi="Arial"/>
                  <w:color w:val="D9A441"/>
                  <w:sz w:val="22"/>
                  <w:szCs w:val="22"/>
                  <w:u w:val="single"/>
                </w:rPr>
                <w:t xml:space="preserve">paesproductions.com</w:t>
              </w:r>
            </w:hyperlink>
          </w:p>
        </w:tc>
      </w:tr>
    </w:tbl>
    <w:p>
      <w:pPr>
        <w:spacing w:after="80" w:before="120"/>
      </w:pPr>
      <w:r>
        <w:t xml:space="preserve"/>
      </w:r>
    </w:p>
    <w:p>
      <w:pPr>
        <w:pStyle w:val="Heading2"/>
      </w:pPr>
      <w:r>
        <w:rPr>
          <w:rFonts w:ascii="Arial" w:cs="Arial" w:eastAsia="Arial" w:hAnsi="Arial"/>
          <w:b/>
          <w:bCs/>
          <w:color w:val="0F2E4C"/>
          <w:sz w:val="30"/>
          <w:szCs w:val="30"/>
        </w:rPr>
        <w:t xml:space="preserve">Contents</w:t>
      </w:r>
    </w:p>
    <w:p>
      <w:pPr>
        <w:spacing w:after="120" w:before="80"/>
      </w:pPr>
      <w:r>
        <w:rPr>
          <w:rFonts w:ascii="Arial" w:cs="Arial" w:eastAsia="Arial" w:hAnsi="Arial"/>
          <w:i/>
          <w:iCs/>
          <w:color w:val="6B7280"/>
          <w:sz w:val="18"/>
          <w:szCs w:val="18"/>
        </w:rPr>
        <w:t xml:space="preserve">When you open this document in Word, the contents list below will update itself. If it shows "No table of contents entries found", right-click on the list and choose "Update Field" (or press F9).</w:t>
      </w:r>
    </w:p>
    <w:sdt>
      <w:sdtPr>
        <w:alias w:val="Contents"/>
      </w:sdtPr>
      <w:sdtContent>
        <w:p>
          <w:r>
            <w:fldChar w:fldCharType="begin" w:dirty="true"/>
            <w:instrText xml:space="preserve">TOC \h \o "1-3"</w:instrText>
            <w:fldChar w:fldCharType="separate"/>
          </w:r>
        </w:p>
        <w:p>
          <w:r>
            <w:fldChar w:fldCharType="end"/>
          </w:r>
        </w:p>
      </w:sdtContent>
    </w:sdt>
    <w:p>
      <w:r>
        <w:br w:type="page"/>
      </w:r>
    </w:p>
    <w:p>
      <w:pPr>
        <w:pStyle w:val="Heading1"/>
      </w:pPr>
      <w:r>
        <w:t xml:space="preserve">UK Funding Reference for PAES Labs</w:t>
      </w:r>
    </w:p>
    <w:p>
      <w:pPr>
        <w:spacing w:after="80" w:before="80"/>
      </w:pPr>
      <w:r>
        <w:t xml:space="preserve">A practical guide for schools, colleges, local authorities and independent providers in the UK and internationally.</w:t>
      </w:r>
    </w:p>
    <w:p>
      <w:pPr>
        <w:pBdr>
          <w:bottom w:val="single" w:color="E5E7EB" w:sz="6" w:space="1"/>
        </w:pBdr>
        <w:spacing w:after="120" w:before="120"/>
      </w:pPr>
      <w:r>
        <w:t xml:space="preserve"/>
      </w:r>
    </w:p>
    <w:p>
      <w:pPr>
        <w:pStyle w:val="Heading2"/>
      </w:pPr>
      <w:r>
        <w:t xml:space="preserve">How to use this document</w:t>
      </w:r>
    </w:p>
    <w:p>
      <w:pPr>
        <w:spacing w:after="80" w:before="80"/>
      </w:pPr>
      <w:r>
        <w:t xml:space="preserve">This reference sets out the public funding streams that UK schools, specialist colleges, local authorities and further education providers can draw on to install and operate a PAES Lab. It covers England in detail, with separate sections for Scotland, Wales and Northern Ireland, plus routes for charitable and independent providers.</w:t>
      </w:r>
    </w:p>
    <w:p>
      <w:pPr>
        <w:spacing w:after="80" w:before="80"/>
      </w:pPr>
      <w:r>
        <w:t xml:space="preserve">A PAES Lab is a capital asset with a typical cost of £35,000 to £45,000 plus ongoing consumables. Most UK funding streams are designed for revenue (staff, placements, services) rather than capital, so capital purchases usually need to be assembled from a combination of sources, or drawn from capital pots specifically flagged as available for SEND provision.</w:t>
      </w:r>
    </w:p>
    <w:p>
      <w:pPr>
        <w:spacing w:after="80" w:before="80"/>
      </w:pPr>
      <w:r>
        <w:t xml:space="preserve">Each section explains what the stream is, who administers it, how a PAES Lab qualifies as an eligible use, and where to verify the detail. Figures change each financial year. Where a figure is quoted, it is the most recent published rate; where it is not, "contact the relevant agency for current allocation" is the safe answer.</w:t>
      </w:r>
    </w:p>
    <w:p>
      <w:pPr>
        <w:spacing w:after="80" w:before="80"/>
      </w:pPr>
      <w:r>
        <w:t xml:space="preserve">Proof point: PAES is already live in the UK at </w:t>
      </w:r>
      <w:hyperlink w:history="1" r:id="rIdrtolfn4-cqj7vd8fbwime">
        <w:r>
          <w:rPr>
            <w:rStyle w:val="Hyperlink"/>
            <w:color w:val="1D8B8B"/>
            <w:u w:val="single"/>
          </w:rPr>
          <w:t xml:space="preserve">Lighthouse Futures Trust</w:t>
        </w:r>
      </w:hyperlink>
      <w:r>
        <w:t xml:space="preserve"> in Leeds, a specialist college for neurodivergent young adults aged 16 to 25, where the PAES Lab is used to inform supported internship pathways.</w:t>
      </w:r>
    </w:p>
    <w:p>
      <w:pPr>
        <w:pBdr>
          <w:bottom w:val="single" w:color="E5E7EB" w:sz="6" w:space="1"/>
        </w:pBdr>
        <w:spacing w:after="120" w:before="120"/>
      </w:pPr>
      <w:r>
        <w:t xml:space="preserve"/>
      </w:r>
    </w:p>
    <w:p>
      <w:pPr>
        <w:pStyle w:val="Heading2"/>
      </w:pPr>
      <w:r>
        <w:t xml:space="preserve">1. Introduction: who can fund a PAES Lab in the UK</w:t>
      </w:r>
    </w:p>
    <w:p>
      <w:pPr>
        <w:spacing w:after="80" w:before="80"/>
      </w:pPr>
      <w:r>
        <w:t xml:space="preserve">A PAES Lab can be funded by any organisation with a statutory duty or a commissioning remit for special educational needs and disabilities (SEND), additional learning needs, or employment preparation for young people with learning difficulties. In practice this means:</w:t>
      </w:r>
    </w:p>
    <w:p>
      <w:pPr>
        <w:pStyle w:val="ListParagraph"/>
        <w:numPr>
          <w:ilvl w:val="0"/>
          <w:numId w:val="2"/>
        </w:numPr>
        <w:spacing w:after="40" w:before="40"/>
      </w:pPr>
      <w:r>
        <w:rPr>
          <w:b/>
          <w:bCs/>
        </w:rPr>
        <w:t xml:space="preserve">Mainstream state schools</w:t>
      </w:r>
      <w:r>
        <w:t xml:space="preserve"> with SEND units, resourced provision, or a high proportion of pupils with EHCPs</w:t>
      </w:r>
    </w:p>
    <w:p>
      <w:pPr>
        <w:pStyle w:val="ListParagraph"/>
        <w:numPr>
          <w:ilvl w:val="0"/>
          <w:numId w:val="2"/>
        </w:numPr>
        <w:spacing w:after="40" w:before="40"/>
      </w:pPr>
      <w:r>
        <w:rPr>
          <w:b/>
          <w:bCs/>
        </w:rPr>
        <w:t xml:space="preserve">Special schools</w:t>
      </w:r>
      <w:r>
        <w:t xml:space="preserve"> (maintained, academy, and non-maintained)</w:t>
      </w:r>
    </w:p>
    <w:p>
      <w:pPr>
        <w:pStyle w:val="ListParagraph"/>
        <w:numPr>
          <w:ilvl w:val="0"/>
          <w:numId w:val="2"/>
        </w:numPr>
        <w:spacing w:after="40" w:before="40"/>
      </w:pPr>
      <w:r>
        <w:rPr>
          <w:b/>
          <w:bCs/>
        </w:rPr>
        <w:t xml:space="preserve">Specialist post-16 institutions (SPIs)</w:t>
      </w:r>
      <w:r>
        <w:t xml:space="preserve"> and specialist colleges</w:t>
      </w:r>
    </w:p>
    <w:p>
      <w:pPr>
        <w:pStyle w:val="ListParagraph"/>
        <w:numPr>
          <w:ilvl w:val="0"/>
          <w:numId w:val="2"/>
        </w:numPr>
        <w:spacing w:after="40" w:before="40"/>
      </w:pPr>
      <w:r>
        <w:rPr>
          <w:b/>
          <w:bCs/>
        </w:rPr>
        <w:t xml:space="preserve">General further education (FE) colleges</w:t>
      </w:r>
      <w:r>
        <w:t xml:space="preserve"> delivering 16 to 19 High Needs provision or Supported Internships</w:t>
      </w:r>
    </w:p>
    <w:p>
      <w:pPr>
        <w:pStyle w:val="ListParagraph"/>
        <w:numPr>
          <w:ilvl w:val="0"/>
          <w:numId w:val="2"/>
        </w:numPr>
        <w:spacing w:after="40" w:before="40"/>
      </w:pPr>
      <w:r>
        <w:rPr>
          <w:b/>
          <w:bCs/>
        </w:rPr>
        <w:t xml:space="preserve">Local authorities</w:t>
      </w:r>
      <w:r>
        <w:t xml:space="preserve"> commissioning SEND provision</w:t>
      </w:r>
    </w:p>
    <w:p>
      <w:pPr>
        <w:pStyle w:val="ListParagraph"/>
        <w:numPr>
          <w:ilvl w:val="0"/>
          <w:numId w:val="2"/>
        </w:numPr>
        <w:spacing w:after="40" w:before="40"/>
      </w:pPr>
      <w:r>
        <w:rPr>
          <w:b/>
          <w:bCs/>
        </w:rPr>
        <w:t xml:space="preserve">Independent special schools</w:t>
      </w:r>
      <w:r>
        <w:t xml:space="preserve"> with EHCP-funded placements</w:t>
      </w:r>
    </w:p>
    <w:p>
      <w:pPr>
        <w:pStyle w:val="ListParagraph"/>
        <w:numPr>
          <w:ilvl w:val="0"/>
          <w:numId w:val="2"/>
        </w:numPr>
        <w:spacing w:after="40" w:before="40"/>
      </w:pPr>
      <w:r>
        <w:rPr>
          <w:b/>
          <w:bCs/>
        </w:rPr>
        <w:t xml:space="preserve">Charities, community interest companies, and social enterprises</w:t>
      </w:r>
      <w:r>
        <w:t xml:space="preserve"> delivering SEND services</w:t>
      </w:r>
    </w:p>
    <w:p>
      <w:pPr>
        <w:spacing w:after="80" w:before="80"/>
      </w:pPr>
      <w:r>
        <w:t xml:space="preserve">The legislative framework in England is the </w:t>
      </w:r>
      <w:hyperlink w:history="1" r:id="rId26ymmnadzkfjyjolfgs6m">
        <w:r>
          <w:rPr>
            <w:rStyle w:val="Hyperlink"/>
            <w:color w:val="1D8B8B"/>
            <w:u w:val="single"/>
          </w:rPr>
          <w:t xml:space="preserve">Children and Families Act 2014</w:t>
        </w:r>
      </w:hyperlink>
      <w:r>
        <w:t xml:space="preserve">, which created Education, Health and Care Plans (EHCPs) and extended SEND duties to age 25, along with the </w:t>
      </w:r>
      <w:hyperlink w:history="1" r:id="rIdbx6qbogigdrh2936xjpov">
        <w:r>
          <w:rPr>
            <w:rStyle w:val="Hyperlink"/>
            <w:color w:val="1D8B8B"/>
            <w:u w:val="single"/>
          </w:rPr>
          <w:t xml:space="preserve">SEND Code of Practice: 0 to 25 years</w:t>
        </w:r>
      </w:hyperlink>
      <w:r>
        <w:t xml:space="preserve">. The Code sets out the requirement for "preparation for adulthood" outcomes from Year 9 onwards, covering employment, independent living, community inclusion and health. A PAES Lab directly supports the employment and independent-living strands of this statutory duty.</w:t>
      </w:r>
    </w:p>
    <w:p>
      <w:pPr>
        <w:spacing w:after="80" w:before="80"/>
      </w:pPr>
      <w:r>
        <w:t xml:space="preserve">The equivalent frameworks in the devolved nations are the Education (Additional Support for Learning) (Scotland) Act 2004 (as amended), the Additional Learning Needs and Education Tribunal (Wales) Act 2018, and the Special Educational Needs and Disability (Northern Ireland) Order 2005 with the SEND Act (Northern Ireland) 2016.</w:t>
      </w:r>
    </w:p>
    <w:p>
      <w:pPr>
        <w:spacing w:after="80" w:before="80"/>
      </w:pPr>
      <w:r>
        <w:t xml:space="preserve">At what level is funding held?</w:t>
      </w:r>
    </w:p>
    <w:p>
      <w:pPr>
        <w:pStyle w:val="ListParagraph"/>
        <w:numPr>
          <w:ilvl w:val="0"/>
          <w:numId w:val="2"/>
        </w:numPr>
        <w:spacing w:after="40" w:before="40"/>
      </w:pPr>
      <w:r>
        <w:rPr>
          <w:b/>
          <w:bCs/>
        </w:rPr>
        <w:t xml:space="preserve">School level:</w:t>
      </w:r>
      <w:r>
        <w:t xml:space="preserve"> delegated budgets, Pupil Premium, and element 2 place funding.</w:t>
      </w:r>
    </w:p>
    <w:p>
      <w:pPr>
        <w:pStyle w:val="ListParagraph"/>
        <w:numPr>
          <w:ilvl w:val="0"/>
          <w:numId w:val="2"/>
        </w:numPr>
        <w:spacing w:after="40" w:before="40"/>
      </w:pPr>
      <w:r>
        <w:rPr>
          <w:b/>
          <w:bCs/>
        </w:rPr>
        <w:t xml:space="preserve">Local authority level:</w:t>
      </w:r>
      <w:r>
        <w:t xml:space="preserve"> the High Needs Block of the Dedicated Schools Grant, element 3 top-up funding, and High Needs Provision Capital Allocations.</w:t>
      </w:r>
    </w:p>
    <w:p>
      <w:pPr>
        <w:pStyle w:val="ListParagraph"/>
        <w:numPr>
          <w:ilvl w:val="0"/>
          <w:numId w:val="2"/>
        </w:numPr>
        <w:spacing w:after="40" w:before="40"/>
      </w:pPr>
      <w:r>
        <w:rPr>
          <w:b/>
          <w:bCs/>
        </w:rPr>
        <w:t xml:space="preserve">Agency level:</w:t>
      </w:r>
      <w:r>
        <w:t xml:space="preserve"> the Department for Education holds the 16 to 19 funding settlement and Supported Internship grants. The Department for Work and Pensions holds Access to Work.</w:t>
      </w:r>
    </w:p>
    <w:p>
      <w:pPr>
        <w:pStyle w:val="ListParagraph"/>
        <w:numPr>
          <w:ilvl w:val="0"/>
          <w:numId w:val="2"/>
        </w:numPr>
        <w:spacing w:after="40" w:before="40"/>
      </w:pPr>
      <w:r>
        <w:rPr>
          <w:b/>
          <w:bCs/>
        </w:rPr>
        <w:t xml:space="preserve">Combined authority level:</w:t>
      </w:r>
      <w:r>
        <w:t xml:space="preserve"> devolved Adult Skills Fund budgets in Greater Manchester, the West Midlands, West Yorkshire and other mayoral areas.</w:t>
      </w:r>
    </w:p>
    <w:p>
      <w:pPr>
        <w:pBdr>
          <w:bottom w:val="single" w:color="E5E7EB" w:sz="6" w:space="1"/>
        </w:pBdr>
        <w:spacing w:after="120" w:before="120"/>
      </w:pPr>
      <w:r>
        <w:t xml:space="preserve"/>
      </w:r>
    </w:p>
    <w:p>
      <w:pPr>
        <w:pStyle w:val="Heading2"/>
      </w:pPr>
      <w:r>
        <w:t xml:space="preserve">2. National funding streams (England)</w:t>
      </w:r>
    </w:p>
    <w:p>
      <w:pPr>
        <w:pStyle w:val="Heading3"/>
      </w:pPr>
      <w:r>
        <w:t xml:space="preserve">2.1 Dedicated Schools Grant (DSG) and the High Needs Block</w:t>
      </w:r>
    </w:p>
    <w:p>
      <w:pPr>
        <w:spacing w:after="80" w:before="80"/>
      </w:pPr>
      <w:r>
        <w:rPr>
          <w:b/>
          <w:bCs/>
        </w:rPr>
        <w:t xml:space="preserve">What it is.</w:t>
      </w:r>
      <w:r>
        <w:t xml:space="preserve"> The DSG is the ring-fenced grant the Department for Education pays to local authorities to fund schools and SEND provision. It has four blocks: Schools, Central School Services, Early Years, and High Needs. The High Needs Block funds provision for children and young people aged 0 to 25 with SEND or who require alternative provision.</w:t>
      </w:r>
    </w:p>
    <w:p>
      <w:pPr>
        <w:spacing w:after="80" w:before="80"/>
      </w:pPr>
      <w:r>
        <w:rPr>
          <w:b/>
          <w:bCs/>
        </w:rPr>
        <w:t xml:space="preserve">Who administers it.</w:t>
      </w:r>
      <w:r>
        <w:t xml:space="preserve"> The Department for Education sets the national allocation through the National Funding Formula; local authorities distribute it to schools and providers through their Schools Forum.</w:t>
      </w:r>
    </w:p>
    <w:p>
      <w:pPr>
        <w:spacing w:after="80" w:before="80"/>
      </w:pPr>
      <w:r>
        <w:rPr>
          <w:b/>
          <w:bCs/>
        </w:rPr>
        <w:t xml:space="preserve">How PAES qualifies.</w:t>
      </w:r>
      <w:r>
        <w:t xml:space="preserve"> The High Needs Block explicitly funds provision that enables pupils and students with EHCPs or high needs to access appropriate education, including specialist equipment and facilities. Local authorities can agree to fund a PAES Lab where it will be used to deliver statutory provision specified in EHCPs, typically as part of preparation for adulthood programmes. For special schools and SPIs receiving place funding, the High Needs Block pays the element 2 place rate (£10,000 per place pre-16; £6,000 per place post-16) and the element 3 top-up.</w:t>
      </w:r>
    </w:p>
    <w:p>
      <w:pPr>
        <w:pStyle w:val="ListParagraph"/>
        <w:numPr>
          <w:ilvl w:val="0"/>
          <w:numId w:val="2"/>
        </w:numPr>
        <w:spacing w:after="40" w:before="40"/>
      </w:pPr>
      <w:hyperlink w:history="1" r:id="rIduxqgw6-jbmv-98makx_m_">
        <w:r>
          <w:rPr>
            <w:rStyle w:val="Hyperlink"/>
            <w:color w:val="1D8B8B"/>
            <w:u w:val="single"/>
          </w:rPr>
          <w:t xml:space="preserve">High needs funding: 2026 to 2027 operational guide</w:t>
        </w:r>
      </w:hyperlink>
    </w:p>
    <w:p>
      <w:pPr>
        <w:pStyle w:val="ListParagraph"/>
        <w:numPr>
          <w:ilvl w:val="0"/>
          <w:numId w:val="2"/>
        </w:numPr>
        <w:spacing w:after="40" w:before="40"/>
      </w:pPr>
      <w:hyperlink w:history="1" r:id="rId2ozd08i7ezzdfktlwiwr4">
        <w:r>
          <w:rPr>
            <w:rStyle w:val="Hyperlink"/>
            <w:color w:val="1D8B8B"/>
            <w:u w:val="single"/>
          </w:rPr>
          <w:t xml:space="preserve">Dedicated Schools Grant (DSG): 2026 to 2027</w:t>
        </w:r>
      </w:hyperlink>
    </w:p>
    <w:p>
      <w:pPr>
        <w:pStyle w:val="Heading3"/>
      </w:pPr>
      <w:r>
        <w:t xml:space="preserve">2.2 High Needs Provision Capital Allocations (HNPCA)</w:t>
      </w:r>
    </w:p>
    <w:p>
      <w:pPr>
        <w:spacing w:after="80" w:before="80"/>
      </w:pPr>
      <w:r>
        <w:rPr>
          <w:b/>
          <w:bCs/>
        </w:rPr>
        <w:t xml:space="preserve">What it is.</w:t>
      </w:r>
      <w:r>
        <w:t xml:space="preserve"> HNPCA is a capital grant paid to local authorities to create new places and improve existing provision for children and young people with SEND or who require alternative provision. It is the single most relevant capital stream for a PAES Lab. In March 2026 the Department for Education published £860 million of HNPCA for the 2026 to 2027 financial year, part of a wider £3 billion investment aimed at creating around 60,000 new specialist places.</w:t>
      </w:r>
    </w:p>
    <w:p>
      <w:pPr>
        <w:spacing w:after="80" w:before="80"/>
      </w:pPr>
      <w:r>
        <w:rPr>
          <w:b/>
          <w:bCs/>
        </w:rPr>
        <w:t xml:space="preserve">Who administers it.</w:t>
      </w:r>
      <w:r>
        <w:t xml:space="preserve"> Allocated by the Department for Education to each local authority.</w:t>
      </w:r>
    </w:p>
    <w:p>
      <w:pPr>
        <w:spacing w:after="80" w:before="80"/>
      </w:pPr>
      <w:r>
        <w:rPr>
          <w:b/>
          <w:bCs/>
        </w:rPr>
        <w:t xml:space="preserve">How PAES qualifies.</w:t>
      </w:r>
      <w:r>
        <w:t xml:space="preserve"> HNPCA can fund new or improved facilities in mainstream and special schools, SEN units, resourced provision, SPIs, and alternative provision. A PAES Lab sits squarely inside "improving existing provision for children and young people with SEND" and, where installed in a new inclusion base or new specialist provision, inside the "new places" category. Local authorities should be approached through their SEND capital programme or place-planning lead.</w:t>
      </w:r>
    </w:p>
    <w:p>
      <w:pPr>
        <w:pStyle w:val="ListParagraph"/>
        <w:numPr>
          <w:ilvl w:val="0"/>
          <w:numId w:val="2"/>
        </w:numPr>
        <w:spacing w:after="40" w:before="40"/>
      </w:pPr>
      <w:hyperlink w:history="1" r:id="rId5iqfxmcqswlp8ouxw0qwl">
        <w:r>
          <w:rPr>
            <w:rStyle w:val="Hyperlink"/>
            <w:color w:val="1D8B8B"/>
            <w:u w:val="single"/>
          </w:rPr>
          <w:t xml:space="preserve">High needs provision capital allocations: guidance</w:t>
        </w:r>
      </w:hyperlink>
    </w:p>
    <w:p>
      <w:pPr>
        <w:pStyle w:val="Heading3"/>
      </w:pPr>
      <w:r>
        <w:t xml:space="preserve">2.3 Pupil Premium</w:t>
      </w:r>
    </w:p>
    <w:p>
      <w:pPr>
        <w:spacing w:after="80" w:before="80"/>
      </w:pPr>
      <w:r>
        <w:rPr>
          <w:b/>
          <w:bCs/>
        </w:rPr>
        <w:t xml:space="preserve">What it is.</w:t>
      </w:r>
      <w:r>
        <w:t xml:space="preserve"> Pupil Premium is additional funding for publicly funded schools in England to improve outcomes for disadvantaged pupils. Eligibility is based on free school meal status (current or within the last six years), looked-after children, and children adopted from care.</w:t>
      </w:r>
    </w:p>
    <w:p>
      <w:pPr>
        <w:spacing w:after="80" w:before="80"/>
      </w:pPr>
      <w:r>
        <w:rPr>
          <w:b/>
          <w:bCs/>
        </w:rPr>
        <w:t xml:space="preserve">Who administers it.</w:t>
      </w:r>
      <w:r>
        <w:t xml:space="preserve"> Department for Education. Paid directly to schools.</w:t>
      </w:r>
    </w:p>
    <w:p>
      <w:pPr>
        <w:spacing w:after="80" w:before="80"/>
      </w:pPr>
      <w:r>
        <w:rPr>
          <w:b/>
          <w:bCs/>
        </w:rPr>
        <w:t xml:space="preserve">How PAES qualifies.</w:t>
      </w:r>
      <w:r>
        <w:t xml:space="preserve"> Pupil Premium is revenue, not capital, and is designed to accelerate disadvantaged pupils' progress. A school cannot use Pupil Premium to buy a PAES Lab outright, but it can use it to fund staff time, consumables, or assessor training associated with using a PAES Lab to support disadvantaged pupils.</w:t>
      </w:r>
    </w:p>
    <w:p>
      <w:pPr>
        <w:pStyle w:val="ListParagraph"/>
        <w:numPr>
          <w:ilvl w:val="0"/>
          <w:numId w:val="2"/>
        </w:numPr>
        <w:spacing w:after="40" w:before="40"/>
      </w:pPr>
      <w:hyperlink w:history="1" r:id="rIdsg3vro7yhw25-3z-lu1i3">
        <w:r>
          <w:rPr>
            <w:rStyle w:val="Hyperlink"/>
            <w:color w:val="1D8B8B"/>
            <w:u w:val="single"/>
          </w:rPr>
          <w:t xml:space="preserve">Pupil premium: overview</w:t>
        </w:r>
      </w:hyperlink>
    </w:p>
    <w:p>
      <w:pPr>
        <w:pStyle w:val="Heading3"/>
      </w:pPr>
      <w:r>
        <w:t xml:space="preserve">2.4 Education, Health and Care Plans (EHCPs): element 3 top-up funding</w:t>
      </w:r>
    </w:p>
    <w:p>
      <w:pPr>
        <w:spacing w:after="80" w:before="80"/>
      </w:pPr>
      <w:r>
        <w:rPr>
          <w:b/>
          <w:bCs/>
        </w:rPr>
        <w:t xml:space="preserve">What it is.</w:t>
      </w:r>
      <w:r>
        <w:t xml:space="preserve"> An EHCP is a statutory document for children and young people aged 0 to 25 with SEND whose needs cannot be met from a school's delegated budget. It specifies the provision the local authority is legally required to secure. Element 3 top-up funding is paid by the commissioning local authority over and above the core (element 1) and place (element 2) funding when an individual pupil or student's support needs exceed £6,000.</w:t>
      </w:r>
    </w:p>
    <w:p>
      <w:pPr>
        <w:spacing w:after="80" w:before="80"/>
      </w:pPr>
      <w:r>
        <w:rPr>
          <w:b/>
          <w:bCs/>
        </w:rPr>
        <w:t xml:space="preserve">Who administers it.</w:t>
      </w:r>
      <w:r>
        <w:t xml:space="preserve"> Local authorities commission and pay element 3 top-ups to schools and colleges, with rates set locally.</w:t>
      </w:r>
    </w:p>
    <w:p>
      <w:pPr>
        <w:spacing w:after="80" w:before="80"/>
      </w:pPr>
      <w:r>
        <w:rPr>
          <w:b/>
          <w:bCs/>
        </w:rPr>
        <w:t xml:space="preserve">How PAES qualifies.</w:t>
      </w:r>
      <w:r>
        <w:t xml:space="preserve"> Provision specified in an EHCP, including access to a structured vocational assessment environment, can be funded through element 3 top-up. Where a school or college evidences that PAES delivers a specified outcome in Section F of EHCPs (for example, "vocational assessment leading to a supported internship plan"), element 3 funding can be directed to staff time, assessor capacity and consumables.</w:t>
      </w:r>
    </w:p>
    <w:p>
      <w:pPr>
        <w:pStyle w:val="Heading3"/>
      </w:pPr>
      <w:r>
        <w:t xml:space="preserve">2.5 16 to 19 funding and the 16 to 19 High Needs element</w:t>
      </w:r>
    </w:p>
    <w:p>
      <w:pPr>
        <w:spacing w:after="80" w:before="80"/>
      </w:pPr>
      <w:r>
        <w:rPr>
          <w:b/>
          <w:bCs/>
        </w:rPr>
        <w:t xml:space="preserve">What it is.</w:t>
      </w:r>
      <w:r>
        <w:t xml:space="preserve"> 16 to 19 funding is the Department for Education's allocation for the education of students aged 16 to 19 (and up to 25 for students with an EHCP) in schools, FE colleges, sixth-form colleges and SPIs. The High Needs element covers students whose support costs exceed £6,000 per year.</w:t>
      </w:r>
    </w:p>
    <w:p>
      <w:pPr>
        <w:spacing w:after="80" w:before="80"/>
      </w:pPr>
      <w:r>
        <w:rPr>
          <w:b/>
          <w:bCs/>
        </w:rPr>
        <w:t xml:space="preserve">Who administers it.</w:t>
      </w:r>
      <w:r>
        <w:t xml:space="preserve"> The Department for Education, through its 16 to 19 funding operations (formerly the Education and Skills Funding Agency, ESFA). Element 1 (the national rate per student) and element 2 (the £6,000 high-needs place) are paid direct to the institution; element 3 top-up is commissioned and paid by the local authority.</w:t>
      </w:r>
    </w:p>
    <w:p>
      <w:pPr>
        <w:spacing w:after="80" w:before="80"/>
      </w:pPr>
      <w:r>
        <w:rPr>
          <w:b/>
          <w:bCs/>
        </w:rPr>
        <w:t xml:space="preserve">How PAES qualifies.</w:t>
      </w:r>
      <w:r>
        <w:t xml:space="preserve"> For SPIs and specialist colleges like Lighthouse Futures Trust, the £6,000 element 2 place funding underwrites capacity to deliver high-needs provision, including PAES-based assessment. Element 3 top-ups then pay the additional cost of delivery. FE colleges running discrete SEND pathways can use 16 to 19 High Needs funding to build a PAES-based vocational assessment route into their 16 to 19 study programmes.</w:t>
      </w:r>
    </w:p>
    <w:p>
      <w:pPr>
        <w:pStyle w:val="ListParagraph"/>
        <w:numPr>
          <w:ilvl w:val="0"/>
          <w:numId w:val="2"/>
        </w:numPr>
        <w:spacing w:after="40" w:before="40"/>
      </w:pPr>
      <w:hyperlink w:history="1" r:id="rIduvgsrduuvomgqgczdg3bs">
        <w:r>
          <w:rPr>
            <w:rStyle w:val="Hyperlink"/>
            <w:color w:val="1D8B8B"/>
            <w:u w:val="single"/>
          </w:rPr>
          <w:t xml:space="preserve">16 to 19 funding allocations</w:t>
        </w:r>
      </w:hyperlink>
    </w:p>
    <w:p>
      <w:pPr>
        <w:pStyle w:val="ListParagraph"/>
        <w:numPr>
          <w:ilvl w:val="0"/>
          <w:numId w:val="2"/>
        </w:numPr>
        <w:spacing w:after="40" w:before="40"/>
      </w:pPr>
      <w:hyperlink w:history="1" r:id="rIdwfbdol8pxyr2wytpfum7t">
        <w:r>
          <w:rPr>
            <w:rStyle w:val="Hyperlink"/>
            <w:color w:val="1D8B8B"/>
            <w:u w:val="single"/>
          </w:rPr>
          <w:t xml:space="preserve">Advice: funding rules for 16 to 19 provision 2026 to 2027</w:t>
        </w:r>
      </w:hyperlink>
    </w:p>
    <w:p>
      <w:pPr>
        <w:pStyle w:val="Heading3"/>
      </w:pPr>
      <w:r>
        <w:t xml:space="preserve">2.6 Adult Skills Fund (formerly Adult Education Budget)</w:t>
      </w:r>
    </w:p>
    <w:p>
      <w:pPr>
        <w:spacing w:after="80" w:before="80"/>
      </w:pPr>
      <w:r>
        <w:rPr>
          <w:b/>
          <w:bCs/>
        </w:rPr>
        <w:t xml:space="preserve">What it is.</w:t>
      </w:r>
      <w:r>
        <w:t xml:space="preserve"> The Adult Skills Fund (ASF), previously called the Adult Education Budget (AEB), pays for education and training for adults aged 19 and over. It covers statutory entitlements (English, maths, digital skills, a first full Level 3 for eligible adults) and other eligible learning. The fund has been progressively devolved to mayoral strategic authorities, with Greater Manchester, the West Midlands, West Yorkshire, Liverpool City Region, South Yorkshire, the North East, the Tees Valley, Cambridgeshire and Peterborough, the West of England, and London holding devolved budgets.</w:t>
      </w:r>
    </w:p>
    <w:p>
      <w:pPr>
        <w:spacing w:after="80" w:before="80"/>
      </w:pPr>
      <w:r>
        <w:rPr>
          <w:b/>
          <w:bCs/>
        </w:rPr>
        <w:t xml:space="preserve">Who administers it.</w:t>
      </w:r>
      <w:r>
        <w:t xml:space="preserve"> Mayoral strategic authorities in devolved areas; the Department for Education elsewhere.</w:t>
      </w:r>
    </w:p>
    <w:p>
      <w:pPr>
        <w:spacing w:after="80" w:before="80"/>
      </w:pPr>
      <w:r>
        <w:rPr>
          <w:b/>
          <w:bCs/>
        </w:rPr>
        <w:t xml:space="preserve">How PAES qualifies.</w:t>
      </w:r>
      <w:r>
        <w:t xml:space="preserve"> ASF funds accredited and non-accredited learning including employability and supported learning for adults with learning difficulties. FE colleges and independent training providers that deliver SEND-specific adult pathways can draw on ASF to fund learner hours, including PAES-based vocational assessment where it sits inside a funded learning aim or local flexibility. ASF does not typically fund capital equipment but supports the staffing and delivery costs that make a PAES Lab viable.</w:t>
      </w:r>
    </w:p>
    <w:p>
      <w:pPr>
        <w:pStyle w:val="ListParagraph"/>
        <w:numPr>
          <w:ilvl w:val="0"/>
          <w:numId w:val="2"/>
        </w:numPr>
        <w:spacing w:after="40" w:before="40"/>
      </w:pPr>
      <w:hyperlink w:history="1" r:id="rIdwh4qeecyanswhgbnv9nx1">
        <w:r>
          <w:rPr>
            <w:rStyle w:val="Hyperlink"/>
            <w:color w:val="1D8B8B"/>
            <w:u w:val="single"/>
          </w:rPr>
          <w:t xml:space="preserve">Adult skills fund: funding and performance management rules 2025 to 2026</w:t>
        </w:r>
      </w:hyperlink>
    </w:p>
    <w:p>
      <w:pPr>
        <w:pStyle w:val="Heading3"/>
      </w:pPr>
      <w:r>
        <w:t xml:space="preserve">2.7 Skills Bootcamps</w:t>
      </w:r>
    </w:p>
    <w:p>
      <w:pPr>
        <w:spacing w:after="80" w:before="80"/>
      </w:pPr>
      <w:r>
        <w:rPr>
          <w:b/>
          <w:bCs/>
        </w:rPr>
        <w:t xml:space="preserve">What it is.</w:t>
      </w:r>
      <w:r>
        <w:t xml:space="preserve"> Skills Bootcamps are short, intensive, employer-linked training courses for adults aged 19 and over, typically 60 to 120 guided learning hours delivered over up to 16 weeks, at Level 3 to Level 5. They are free to learners and free or subsidised to employers (SMEs contribute 10 per cent; large employers contribute 30 per cent).</w:t>
      </w:r>
    </w:p>
    <w:p>
      <w:pPr>
        <w:spacing w:after="80" w:before="80"/>
      </w:pPr>
      <w:r>
        <w:rPr>
          <w:b/>
          <w:bCs/>
        </w:rPr>
        <w:t xml:space="preserve">Who administers it.</w:t>
      </w:r>
      <w:r>
        <w:t xml:space="preserve"> Department for Education.</w:t>
      </w:r>
    </w:p>
    <w:p>
      <w:pPr>
        <w:spacing w:after="80" w:before="80"/>
      </w:pPr>
      <w:r>
        <w:rPr>
          <w:b/>
          <w:bCs/>
        </w:rPr>
        <w:t xml:space="preserve">How PAES qualifies.</w:t>
      </w:r>
      <w:r>
        <w:t xml:space="preserve"> Bootcamps are co-designed with employers to meet specific occupational skills needs. A PAES Lab can be used inside a Skills Bootcamp for learners with SEND or complex barriers to work, providing structured vocational profiling and role-matching in advance of the bootcamp's technical content.</w:t>
      </w:r>
    </w:p>
    <w:p>
      <w:pPr>
        <w:pStyle w:val="ListParagraph"/>
        <w:numPr>
          <w:ilvl w:val="0"/>
          <w:numId w:val="2"/>
        </w:numPr>
        <w:spacing w:after="40" w:before="40"/>
      </w:pPr>
      <w:hyperlink w:history="1" r:id="rIdnfp-xboy8vthcdtb_dbk5">
        <w:r>
          <w:rPr>
            <w:rStyle w:val="Hyperlink"/>
            <w:color w:val="1D8B8B"/>
            <w:u w:val="single"/>
          </w:rPr>
          <w:t xml:space="preserve">DfE Skills Bootcamps</w:t>
        </w:r>
      </w:hyperlink>
    </w:p>
    <w:p>
      <w:pPr>
        <w:pStyle w:val="Heading3"/>
      </w:pPr>
      <w:r>
        <w:t xml:space="preserve">2.8 Apprenticeship Levy</w:t>
      </w:r>
    </w:p>
    <w:p>
      <w:pPr>
        <w:spacing w:after="80" w:before="80"/>
      </w:pPr>
      <w:r>
        <w:rPr>
          <w:b/>
          <w:bCs/>
        </w:rPr>
        <w:t xml:space="preserve">What it is.</w:t>
      </w:r>
      <w:r>
        <w:t xml:space="preserve"> The Apprenticeship Levy is a 0.5 per cent payroll tax on UK employers with an annual pay bill over £3 million. Levy-payers draw down their funds through the apprenticeship service to pay for apprenticeship training and assessment. Levy-payers can transfer up to 50 per cent of their annual levy funds to other employers to fund apprenticeships.</w:t>
      </w:r>
    </w:p>
    <w:p>
      <w:pPr>
        <w:spacing w:after="80" w:before="80"/>
      </w:pPr>
      <w:r>
        <w:rPr>
          <w:b/>
          <w:bCs/>
        </w:rPr>
        <w:t xml:space="preserve">Who administers it.</w:t>
      </w:r>
      <w:r>
        <w:t xml:space="preserve"> HM Revenue &amp; Customs collects the levy; the Department for Education administers the apprenticeship service.</w:t>
      </w:r>
    </w:p>
    <w:p>
      <w:pPr>
        <w:spacing w:after="80" w:before="80"/>
      </w:pPr>
      <w:r>
        <w:rPr>
          <w:b/>
          <w:bCs/>
        </w:rPr>
        <w:t xml:space="preserve">How PAES qualifies.</w:t>
      </w:r>
      <w:r>
        <w:t xml:space="preserve"> The levy pays for apprenticeship training and end-point assessment only. It does not fund capital equipment or non-apprenticeship learning. Where a school, college or employer runs apprenticeship pathways for young people with SEND, PAES-based pre-apprenticeship assessment can be funded through a combination of the employer's own resources and levy transfers that pay for apprenticeship training that follows the PAES assessment stage.</w:t>
      </w:r>
    </w:p>
    <w:p>
      <w:pPr>
        <w:pStyle w:val="ListParagraph"/>
        <w:numPr>
          <w:ilvl w:val="0"/>
          <w:numId w:val="2"/>
        </w:numPr>
        <w:spacing w:after="40" w:before="40"/>
      </w:pPr>
      <w:hyperlink w:history="1" r:id="rIdlu9mdz8jx8gpleichz1a_">
        <w:r>
          <w:rPr>
            <w:rStyle w:val="Hyperlink"/>
            <w:color w:val="1D8B8B"/>
            <w:u w:val="single"/>
          </w:rPr>
          <w:t xml:space="preserve">Transferring your apprenticeship levy to another business</w:t>
        </w:r>
      </w:hyperlink>
    </w:p>
    <w:p>
      <w:pPr>
        <w:pStyle w:val="Heading3"/>
      </w:pPr>
      <w:r>
        <w:t xml:space="preserve">2.9 Disabled Students' Allowance (DSA)</w:t>
      </w:r>
    </w:p>
    <w:p>
      <w:pPr>
        <w:spacing w:after="80" w:before="80"/>
      </w:pPr>
      <w:r>
        <w:rPr>
          <w:b/>
          <w:bCs/>
        </w:rPr>
        <w:t xml:space="preserve">What it is.</w:t>
      </w:r>
      <w:r>
        <w:t xml:space="preserve"> DSA is a non-means-tested allowance for higher education students in England whose disability, mental health condition, or specific learning difficulty affects their study. For 2026 to 2027 the single combined allowance for undergraduates and postgraduates is up to £27,783, with travel costs outside the cap.</w:t>
      </w:r>
    </w:p>
    <w:p>
      <w:pPr>
        <w:spacing w:after="80" w:before="80"/>
      </w:pPr>
      <w:r>
        <w:rPr>
          <w:b/>
          <w:bCs/>
        </w:rPr>
        <w:t xml:space="preserve">Who administers it.</w:t>
      </w:r>
      <w:r>
        <w:t xml:space="preserve"> Student Finance England.</w:t>
      </w:r>
    </w:p>
    <w:p>
      <w:pPr>
        <w:spacing w:after="80" w:before="80"/>
      </w:pPr>
      <w:r>
        <w:rPr>
          <w:b/>
          <w:bCs/>
        </w:rPr>
        <w:t xml:space="preserve">How PAES qualifies.</w:t>
      </w:r>
      <w:r>
        <w:t xml:space="preserve"> DSA funds individual students, not institutions. It cannot pay for a PAES Lab. Listed because HE providers that install a PAES Lab for SEND students may find DSA-funded non-medical helper hours are used by individual students accessing that provision.</w:t>
      </w:r>
    </w:p>
    <w:p>
      <w:pPr>
        <w:pStyle w:val="ListParagraph"/>
        <w:numPr>
          <w:ilvl w:val="0"/>
          <w:numId w:val="2"/>
        </w:numPr>
        <w:spacing w:after="40" w:before="40"/>
      </w:pPr>
      <w:hyperlink w:history="1" r:id="rIdoctca-t7b56icccf8ulyl">
        <w:r>
          <w:rPr>
            <w:rStyle w:val="Hyperlink"/>
            <w:color w:val="1D8B8B"/>
            <w:u w:val="single"/>
          </w:rPr>
          <w:t xml:space="preserve">Disabled Students' Allowance (DSA)</w:t>
        </w:r>
      </w:hyperlink>
    </w:p>
    <w:p>
      <w:pPr>
        <w:pStyle w:val="Heading3"/>
      </w:pPr>
      <w:r>
        <w:t xml:space="preserve">2.10 Access to Work (DWP)</w:t>
      </w:r>
    </w:p>
    <w:p>
      <w:pPr>
        <w:spacing w:after="80" w:before="80"/>
      </w:pPr>
      <w:r>
        <w:rPr>
          <w:b/>
          <w:bCs/>
        </w:rPr>
        <w:t xml:space="preserve">What it is.</w:t>
      </w:r>
      <w:r>
        <w:t xml:space="preserve"> Access to Work is a Department for Work and Pensions grant scheme that helps disabled people start or stay in paid work, self-employment, or apprenticeships. The annual award cap is £69,260 (2025 to 2026 rate).</w:t>
      </w:r>
    </w:p>
    <w:p>
      <w:pPr>
        <w:spacing w:after="80" w:before="80"/>
      </w:pPr>
      <w:r>
        <w:rPr>
          <w:b/>
          <w:bCs/>
        </w:rPr>
        <w:t xml:space="preserve">Who administers it.</w:t>
      </w:r>
      <w:r>
        <w:t xml:space="preserve"> Department for Work and Pensions.</w:t>
      </w:r>
    </w:p>
    <w:p>
      <w:pPr>
        <w:spacing w:after="80" w:before="80"/>
      </w:pPr>
      <w:r>
        <w:rPr>
          <w:b/>
          <w:bCs/>
        </w:rPr>
        <w:t xml:space="preserve">How PAES qualifies.</w:t>
      </w:r>
      <w:r>
        <w:t xml:space="preserve"> Access to Work funds individual disabled workers, not institutions or training providers, so it cannot pay for a PAES Lab. It is relevant to PAES because the supported employment pathway that a PAES Lab feeds into (supported internship, apprenticeship, paid role) is often supported by Access to Work once the young person moves into work.</w:t>
      </w:r>
    </w:p>
    <w:p>
      <w:pPr>
        <w:pStyle w:val="ListParagraph"/>
        <w:numPr>
          <w:ilvl w:val="0"/>
          <w:numId w:val="2"/>
        </w:numPr>
        <w:spacing w:after="40" w:before="40"/>
      </w:pPr>
      <w:hyperlink w:history="1" r:id="rIdh328micy3t__vsxzre7pf">
        <w:r>
          <w:rPr>
            <w:rStyle w:val="Hyperlink"/>
            <w:color w:val="1D8B8B"/>
            <w:u w:val="single"/>
          </w:rPr>
          <w:t xml:space="preserve">Access to Work</w:t>
        </w:r>
      </w:hyperlink>
    </w:p>
    <w:p>
      <w:pPr>
        <w:pStyle w:val="Heading3"/>
      </w:pPr>
      <w:r>
        <w:t xml:space="preserve">2.11 Supported Internships</w:t>
      </w:r>
    </w:p>
    <w:p>
      <w:pPr>
        <w:spacing w:after="80" w:before="80"/>
      </w:pPr>
      <w:r>
        <w:rPr>
          <w:b/>
          <w:bCs/>
        </w:rPr>
        <w:t xml:space="preserve">What it is.</w:t>
      </w:r>
      <w:r>
        <w:t xml:space="preserve"> Supported internships are a structured study programme for young people aged 16 to 24 with an EHCP. They include an extended work placement with job coach support, classroom-based learning, and qualifications where appropriate.</w:t>
      </w:r>
    </w:p>
    <w:p>
      <w:pPr>
        <w:spacing w:after="80" w:before="80"/>
      </w:pPr>
      <w:r>
        <w:rPr>
          <w:b/>
          <w:bCs/>
        </w:rPr>
        <w:t xml:space="preserve">Who administers it.</w:t>
      </w:r>
      <w:r>
        <w:t xml:space="preserve"> Department for Education sets policy and funds through the 16 to 19 High Needs settlement.</w:t>
      </w:r>
    </w:p>
    <w:p>
      <w:pPr>
        <w:spacing w:after="80" w:before="80"/>
      </w:pPr>
      <w:r>
        <w:rPr>
          <w:b/>
          <w:bCs/>
        </w:rPr>
        <w:t xml:space="preserve">How PAES qualifies.</w:t>
      </w:r>
      <w:r>
        <w:t xml:space="preserve"> Supported internships rely on structured vocational profiling to match interns to placements. A PAES Lab is a purpose-built assessment environment for exactly this profiling stage. Providers can build PAES into their supported internship offer as the "assessment and orientation" phase, funded through 16 to 19 High Needs element 2 and element 3.</w:t>
      </w:r>
    </w:p>
    <w:p>
      <w:pPr>
        <w:pStyle w:val="ListParagraph"/>
        <w:numPr>
          <w:ilvl w:val="0"/>
          <w:numId w:val="2"/>
        </w:numPr>
        <w:spacing w:after="40" w:before="40"/>
      </w:pPr>
      <w:hyperlink w:history="1" r:id="rIdns5f4622h_y7rd68nlf2i">
        <w:r>
          <w:rPr>
            <w:rStyle w:val="Hyperlink"/>
            <w:color w:val="1D8B8B"/>
            <w:u w:val="single"/>
          </w:rPr>
          <w:t xml:space="preserve">Supported internships for young people with learning difficulties</w:t>
        </w:r>
      </w:hyperlink>
    </w:p>
    <w:p>
      <w:pPr>
        <w:pStyle w:val="Heading3"/>
      </w:pPr>
      <w:r>
        <w:t xml:space="preserve">2.12 Local authority SEND capital and revenue funding</w:t>
      </w:r>
    </w:p>
    <w:p>
      <w:pPr>
        <w:spacing w:after="80" w:before="80"/>
      </w:pPr>
      <w:r>
        <w:rPr>
          <w:b/>
          <w:bCs/>
        </w:rPr>
        <w:t xml:space="preserve">What it is.</w:t>
      </w:r>
      <w:r>
        <w:t xml:space="preserve"> Beyond HNPCA, local authorities hold their own SEND capital and revenue budgets drawn from council reserves, the Schools Condition Allocation, section 106 developer contributions, and local grant programmes.</w:t>
      </w:r>
    </w:p>
    <w:p>
      <w:pPr>
        <w:spacing w:after="80" w:before="80"/>
      </w:pPr>
      <w:r>
        <w:rPr>
          <w:b/>
          <w:bCs/>
        </w:rPr>
        <w:t xml:space="preserve">Who administers it.</w:t>
      </w:r>
      <w:r>
        <w:t xml:space="preserve"> Local authorities.</w:t>
      </w:r>
    </w:p>
    <w:p>
      <w:pPr>
        <w:spacing w:after="80" w:before="80"/>
      </w:pPr>
      <w:r>
        <w:rPr>
          <w:b/>
          <w:bCs/>
        </w:rPr>
        <w:t xml:space="preserve">How PAES qualifies.</w:t>
      </w:r>
      <w:r>
        <w:t xml:space="preserve"> A PAES Lab in a local authority special school or commissioned SPI is a textbook use of local SEND capital: a discrete, self-contained improvement to specialist provision that supports preparation for adulthood outcomes. Local SEND transformation plans and sufficiency strategies often include explicit references to vocational and independent-living facilities.</w:t>
      </w:r>
    </w:p>
    <w:p>
      <w:pPr>
        <w:pStyle w:val="ListParagraph"/>
        <w:numPr>
          <w:ilvl w:val="0"/>
          <w:numId w:val="2"/>
        </w:numPr>
        <w:spacing w:after="40" w:before="40"/>
      </w:pPr>
      <w:hyperlink w:history="1" r:id="rId4pd-6nfdv2guqegaxjyjm">
        <w:r>
          <w:rPr>
            <w:rStyle w:val="Hyperlink"/>
            <w:color w:val="1D8B8B"/>
            <w:u w:val="single"/>
          </w:rPr>
          <w:t xml:space="preserve">Experts at Hand and Local Authority SEND Transformation Fund</w:t>
        </w:r>
      </w:hyperlink>
    </w:p>
    <w:p>
      <w:pPr>
        <w:pBdr>
          <w:bottom w:val="single" w:color="E5E7EB" w:sz="6" w:space="1"/>
        </w:pBdr>
        <w:spacing w:after="120" w:before="120"/>
      </w:pPr>
      <w:r>
        <w:t xml:space="preserve"/>
      </w:r>
    </w:p>
    <w:p>
      <w:pPr>
        <w:pStyle w:val="Heading2"/>
      </w:pPr>
      <w:r>
        <w:t xml:space="preserve">3. Devolved nations</w:t>
      </w:r>
    </w:p>
    <w:p>
      <w:pPr>
        <w:pStyle w:val="Heading3"/>
      </w:pPr>
      <w:r>
        <w:t xml:space="preserve">3.1 Scotland</w:t>
      </w:r>
    </w:p>
    <w:p>
      <w:pPr>
        <w:pStyle w:val="Heading4"/>
      </w:pPr>
      <w:r>
        <w:t xml:space="preserve">Additional Support for Learning (ASL)</w:t>
      </w:r>
    </w:p>
    <w:p>
      <w:pPr>
        <w:spacing w:after="80" w:before="80"/>
      </w:pPr>
      <w:r>
        <w:rPr>
          <w:b/>
          <w:bCs/>
        </w:rPr>
        <w:t xml:space="preserve">What it is.</w:t>
      </w:r>
      <w:r>
        <w:t xml:space="preserve"> ASL is the statutory framework in Scotland for pupils who need additional support for any reason, broader than the English SEND definition. It covers children whose learning is affected by disability, behaviour, family circumstance, or any other factor. The legal basis is the Education (Additional Support for Learning) (Scotland) Act 2004 as amended in 2009.</w:t>
      </w:r>
    </w:p>
    <w:p>
      <w:pPr>
        <w:spacing w:after="80" w:before="80"/>
      </w:pPr>
      <w:r>
        <w:rPr>
          <w:b/>
          <w:bCs/>
        </w:rPr>
        <w:t xml:space="preserve">Who administers it.</w:t>
      </w:r>
      <w:r>
        <w:t xml:space="preserve"> Scottish Government sets policy. Local authorities (councils) deliver and fund provision.</w:t>
      </w:r>
    </w:p>
    <w:p>
      <w:pPr>
        <w:spacing w:after="80" w:before="80"/>
      </w:pPr>
      <w:r>
        <w:rPr>
          <w:b/>
          <w:bCs/>
        </w:rPr>
        <w:t xml:space="preserve">How PAES qualifies.</w:t>
      </w:r>
      <w:r>
        <w:t xml:space="preserve"> ASL duties include planning for young people's post-school transitions. A PAES Lab in a secondary school or specialist provision contributes directly to that statutory transition planning duty.</w:t>
      </w:r>
    </w:p>
    <w:p>
      <w:pPr>
        <w:pStyle w:val="ListParagraph"/>
        <w:numPr>
          <w:ilvl w:val="0"/>
          <w:numId w:val="2"/>
        </w:numPr>
        <w:spacing w:after="40" w:before="40"/>
      </w:pPr>
      <w:hyperlink w:history="1" r:id="rIdnru5frbuzm66t-jwvjjos">
        <w:r>
          <w:rPr>
            <w:rStyle w:val="Hyperlink"/>
            <w:color w:val="1D8B8B"/>
            <w:u w:val="single"/>
          </w:rPr>
          <w:t xml:space="preserve">Scottish Government: Additional support for learning</w:t>
        </w:r>
      </w:hyperlink>
    </w:p>
    <w:p>
      <w:pPr>
        <w:pStyle w:val="Heading4"/>
      </w:pPr>
      <w:r>
        <w:t xml:space="preserve">ASL Workforce and Reform Funding</w:t>
      </w:r>
    </w:p>
    <w:p>
      <w:pPr>
        <w:spacing w:after="80" w:before="80"/>
      </w:pPr>
      <w:r>
        <w:rPr>
          <w:b/>
          <w:bCs/>
        </w:rPr>
        <w:t xml:space="preserve">What it is.</w:t>
      </w:r>
      <w:r>
        <w:t xml:space="preserve"> From 2025 to 2026 the Scottish Government has committed an additional £28 million to local government to develop the ASL workforce and deliver enhanced support across the curriculum.</w:t>
      </w:r>
    </w:p>
    <w:p>
      <w:pPr>
        <w:spacing w:after="80" w:before="80"/>
      </w:pPr>
      <w:r>
        <w:rPr>
          <w:b/>
          <w:bCs/>
        </w:rPr>
        <w:t xml:space="preserve">How PAES qualifies.</w:t>
      </w:r>
      <w:r>
        <w:t xml:space="preserve"> Primarily a revenue/workforce fund, so relevant for staffing and training costs associated with operating a PAES Lab (for example, assessor training) rather than the capital purchase itself.</w:t>
      </w:r>
    </w:p>
    <w:p>
      <w:pPr>
        <w:pStyle w:val="ListParagraph"/>
        <w:numPr>
          <w:ilvl w:val="0"/>
          <w:numId w:val="2"/>
        </w:numPr>
        <w:spacing w:after="40" w:before="40"/>
      </w:pPr>
      <w:hyperlink w:history="1" r:id="rIdwi1fltaf1xh-djszgyglq">
        <w:r>
          <w:rPr>
            <w:rStyle w:val="Hyperlink"/>
            <w:color w:val="1D8B8B"/>
            <w:u w:val="single"/>
          </w:rPr>
          <w:t xml:space="preserve">Delivering Additional Support for Learning</w:t>
        </w:r>
      </w:hyperlink>
    </w:p>
    <w:p>
      <w:pPr>
        <w:pStyle w:val="Heading4"/>
      </w:pPr>
      <w:r>
        <w:t xml:space="preserve">Developing the Young Workforce (DYW)</w:t>
      </w:r>
    </w:p>
    <w:p>
      <w:pPr>
        <w:spacing w:after="80" w:before="80"/>
      </w:pPr>
      <w:r>
        <w:rPr>
          <w:b/>
          <w:bCs/>
        </w:rPr>
        <w:t xml:space="preserve">What it is.</w:t>
      </w:r>
      <w:r>
        <w:t xml:space="preserve"> DYW is Scotland's youth employment strategy, with a network of regional DYW groups linking schools and employers. It includes Foundation Apprenticeships (2,500 starts per year) and Modern Apprenticeships (around 25,500 starts), backed by over £100 million in 2025 to 2026.</w:t>
      </w:r>
    </w:p>
    <w:p>
      <w:pPr>
        <w:spacing w:after="80" w:before="80"/>
      </w:pPr>
      <w:r>
        <w:rPr>
          <w:b/>
          <w:bCs/>
        </w:rPr>
        <w:t xml:space="preserve">How PAES qualifies.</w:t>
      </w:r>
      <w:r>
        <w:t xml:space="preserve"> DYW schools and regional groups look for structured tools to help young people identify vocational pathways and build employability skills. A PAES Lab is a practical fit with DYW objectives.</w:t>
      </w:r>
    </w:p>
    <w:p>
      <w:pPr>
        <w:pStyle w:val="ListParagraph"/>
        <w:numPr>
          <w:ilvl w:val="0"/>
          <w:numId w:val="2"/>
        </w:numPr>
        <w:spacing w:after="40" w:before="40"/>
      </w:pPr>
      <w:hyperlink w:history="1" r:id="rId5o4chxwppcqqjgnbblnlg">
        <w:r>
          <w:rPr>
            <w:rStyle w:val="Hyperlink"/>
            <w:color w:val="1D8B8B"/>
            <w:u w:val="single"/>
          </w:rPr>
          <w:t xml:space="preserve">Developing the Young Workforce</w:t>
        </w:r>
      </w:hyperlink>
    </w:p>
    <w:p>
      <w:pPr>
        <w:pStyle w:val="Heading4"/>
      </w:pPr>
      <w:r>
        <w:t xml:space="preserve">Pupil Equity Funding (PEF)</w:t>
      </w:r>
    </w:p>
    <w:p>
      <w:pPr>
        <w:spacing w:after="80" w:before="80"/>
      </w:pPr>
      <w:r>
        <w:rPr>
          <w:b/>
          <w:bCs/>
        </w:rPr>
        <w:t xml:space="preserve">What it is.</w:t>
      </w:r>
      <w:r>
        <w:t xml:space="preserve"> PEF is Scotland's equivalent of Pupil Premium, allocated directly to schools based on free school meal eligibility in P1 to S3. Around 97 per cent of Scottish schools receive PEF.</w:t>
      </w:r>
    </w:p>
    <w:p>
      <w:pPr>
        <w:spacing w:after="80" w:before="80"/>
      </w:pPr>
      <w:r>
        <w:rPr>
          <w:b/>
          <w:bCs/>
        </w:rPr>
        <w:t xml:space="preserve">How PAES qualifies.</w:t>
      </w:r>
      <w:r>
        <w:t xml:space="preserve"> Heads can use PEF to fund staffing, wellbeing, and transition activity linked to a PAES Lab, especially where operated across S1 to S3. Capital is unusual from PEF; it is better used for revenue support around a lab funded from elsewhere.</w:t>
      </w:r>
    </w:p>
    <w:p>
      <w:pPr>
        <w:pStyle w:val="ListParagraph"/>
        <w:numPr>
          <w:ilvl w:val="0"/>
          <w:numId w:val="2"/>
        </w:numPr>
        <w:spacing w:after="40" w:before="40"/>
      </w:pPr>
      <w:hyperlink w:history="1" r:id="rIdev88kgmp4b28hdhiiujca">
        <w:r>
          <w:rPr>
            <w:rStyle w:val="Hyperlink"/>
            <w:color w:val="1D8B8B"/>
            <w:u w:val="single"/>
          </w:rPr>
          <w:t xml:space="preserve">Pupil Equity Funding: national operational guidance 2026 to 2027</w:t>
        </w:r>
      </w:hyperlink>
    </w:p>
    <w:p>
      <w:pPr>
        <w:pStyle w:val="Heading3"/>
      </w:pPr>
      <w:r>
        <w:t xml:space="preserve">3.2 Wales</w:t>
      </w:r>
    </w:p>
    <w:p>
      <w:pPr>
        <w:pStyle w:val="Heading4"/>
      </w:pPr>
      <w:r>
        <w:t xml:space="preserve">Additional Learning Needs (ALN) system</w:t>
      </w:r>
    </w:p>
    <w:p>
      <w:pPr>
        <w:spacing w:after="80" w:before="80"/>
      </w:pPr>
      <w:r>
        <w:rPr>
          <w:b/>
          <w:bCs/>
        </w:rPr>
        <w:t xml:space="preserve">What it is.</w:t>
      </w:r>
      <w:r>
        <w:t xml:space="preserve"> The Additional Learning Needs and Education Tribunal (Wales) Act 2018 replaced the previous SEN framework with a single system for learners aged 0 to 25. The statutory document is the Individual Development Plan (IDP), the Welsh equivalent of an EHCP. The Welsh Government has invested over £150 million revenue and £170 million capital in ALN reform over the past four years, with a further £18 million in 2025 to 2026 and an £8.2 million top-up in late 2025.</w:t>
      </w:r>
    </w:p>
    <w:p>
      <w:pPr>
        <w:spacing w:after="80" w:before="80"/>
      </w:pPr>
      <w:r>
        <w:rPr>
          <w:b/>
          <w:bCs/>
        </w:rPr>
        <w:t xml:space="preserve">Who administers it.</w:t>
      </w:r>
      <w:r>
        <w:t xml:space="preserve"> Welsh Government sets policy; local authorities and further education institutions deliver under the ALN Code.</w:t>
      </w:r>
    </w:p>
    <w:p>
      <w:pPr>
        <w:spacing w:after="80" w:before="80"/>
      </w:pPr>
      <w:r>
        <w:rPr>
          <w:b/>
          <w:bCs/>
        </w:rPr>
        <w:t xml:space="preserve">How PAES qualifies.</w:t>
      </w:r>
      <w:r>
        <w:t xml:space="preserve"> Where an IDP specifies vocational assessment or transition support, a PAES Lab supports the delivery of that specified provision. Capital for new ALN facilities has been part of the reform funding envelope.</w:t>
      </w:r>
    </w:p>
    <w:p>
      <w:pPr>
        <w:pStyle w:val="ListParagraph"/>
        <w:numPr>
          <w:ilvl w:val="0"/>
          <w:numId w:val="2"/>
        </w:numPr>
        <w:spacing w:after="40" w:before="40"/>
      </w:pPr>
      <w:hyperlink w:history="1" r:id="rId4tf5eljebkm-efq2js2cz">
        <w:r>
          <w:rPr>
            <w:rStyle w:val="Hyperlink"/>
            <w:color w:val="1D8B8B"/>
            <w:u w:val="single"/>
          </w:rPr>
          <w:t xml:space="preserve">£18 million to strengthen support for children and young people with Additional Learning Needs</w:t>
        </w:r>
      </w:hyperlink>
    </w:p>
    <w:p>
      <w:pPr>
        <w:pStyle w:val="Heading4"/>
      </w:pPr>
      <w:r>
        <w:t xml:space="preserve">Post-16 specialist ALN placements</w:t>
      </w:r>
    </w:p>
    <w:p>
      <w:pPr>
        <w:spacing w:after="80" w:before="80"/>
      </w:pPr>
      <w:r>
        <w:rPr>
          <w:b/>
          <w:bCs/>
        </w:rPr>
        <w:t xml:space="preserve">What it is.</w:t>
      </w:r>
      <w:r>
        <w:t xml:space="preserve"> From September 2025, local authorities in Wales took over responsibility for decisions on Independent Specialist Post-16 Institution (ISPI) placements for young people with ALN, replacing the previous Welsh Government commissioning route.</w:t>
      </w:r>
    </w:p>
    <w:p>
      <w:pPr>
        <w:spacing w:after="80" w:before="80"/>
      </w:pPr>
      <w:r>
        <w:rPr>
          <w:b/>
          <w:bCs/>
        </w:rPr>
        <w:t xml:space="preserve">How PAES qualifies.</w:t>
      </w:r>
      <w:r>
        <w:t xml:space="preserve"> ISPIs bidding to deliver post-16 ALN provision can cite a PAES Lab as part of their specialist offer.</w:t>
      </w:r>
    </w:p>
    <w:p>
      <w:pPr>
        <w:pStyle w:val="ListParagraph"/>
        <w:numPr>
          <w:ilvl w:val="0"/>
          <w:numId w:val="2"/>
        </w:numPr>
        <w:spacing w:after="40" w:before="40"/>
      </w:pPr>
      <w:hyperlink w:history="1" r:id="rIdpyzyiqjhiyut6ugewkjh1">
        <w:r>
          <w:rPr>
            <w:rStyle w:val="Hyperlink"/>
            <w:color w:val="1D8B8B"/>
            <w:u w:val="single"/>
          </w:rPr>
          <w:t xml:space="preserve">Placements at specialist further education provision: transitional arrangements</w:t>
        </w:r>
      </w:hyperlink>
    </w:p>
    <w:p>
      <w:pPr>
        <w:pStyle w:val="Heading4"/>
      </w:pPr>
      <w:r>
        <w:t xml:space="preserve">Jobs Growth Wales+</w:t>
      </w:r>
    </w:p>
    <w:p>
      <w:pPr>
        <w:spacing w:after="80" w:before="80"/>
      </w:pPr>
      <w:r>
        <w:rPr>
          <w:b/>
          <w:bCs/>
        </w:rPr>
        <w:t xml:space="preserve">What it is.</w:t>
      </w:r>
      <w:r>
        <w:t xml:space="preserve"> Jobs Growth Wales+ is a Welsh Government-funded youth employment programme for 16 to 19 year olds not in education, employment or training. It provides personalised training, employability support, and work placements.</w:t>
      </w:r>
    </w:p>
    <w:p>
      <w:pPr>
        <w:spacing w:after="80" w:before="80"/>
      </w:pPr>
      <w:r>
        <w:rPr>
          <w:b/>
          <w:bCs/>
        </w:rPr>
        <w:t xml:space="preserve">How PAES qualifies.</w:t>
      </w:r>
      <w:r>
        <w:t xml:space="preserve"> Delivery providers can use a PAES Lab as the vocational profiling stage of the Jobs Growth Wales+ pathway for learners with additional needs.</w:t>
      </w:r>
    </w:p>
    <w:p>
      <w:pPr>
        <w:pStyle w:val="ListParagraph"/>
        <w:numPr>
          <w:ilvl w:val="0"/>
          <w:numId w:val="2"/>
        </w:numPr>
        <w:spacing w:after="40" w:before="40"/>
      </w:pPr>
      <w:hyperlink w:history="1" r:id="rIdyrttix5lcae7szyx3ntfl">
        <w:r>
          <w:rPr>
            <w:rStyle w:val="Hyperlink"/>
            <w:color w:val="1D8B8B"/>
            <w:u w:val="single"/>
          </w:rPr>
          <w:t xml:space="preserve">Jobs Growth Wales Plus: Working Wales</w:t>
        </w:r>
      </w:hyperlink>
    </w:p>
    <w:p>
      <w:pPr>
        <w:pStyle w:val="Heading3"/>
      </w:pPr>
      <w:r>
        <w:t xml:space="preserve">3.3 Northern Ireland</w:t>
      </w:r>
    </w:p>
    <w:p>
      <w:pPr>
        <w:pStyle w:val="Heading4"/>
      </w:pPr>
      <w:r>
        <w:t xml:space="preserve">SEN funding via the Education Authority</w:t>
      </w:r>
    </w:p>
    <w:p>
      <w:pPr>
        <w:spacing w:after="80" w:before="80"/>
      </w:pPr>
      <w:r>
        <w:rPr>
          <w:b/>
          <w:bCs/>
        </w:rPr>
        <w:t xml:space="preserve">What it is.</w:t>
      </w:r>
      <w:r>
        <w:t xml:space="preserve"> The Education Authority (EA) is the single body responsible for delivering education services across Northern Ireland, including statutory assessments and statements of special educational needs under the SEND (NI) Order 2005 and SEND Act (NI) 2016. In September 2025 there were 34,011 pupils with a statement of SEN in Northern Ireland, an 85 per cent increase over ten years.</w:t>
      </w:r>
    </w:p>
    <w:p>
      <w:pPr>
        <w:spacing w:after="80" w:before="80"/>
      </w:pPr>
      <w:r>
        <w:rPr>
          <w:b/>
          <w:bCs/>
        </w:rPr>
        <w:t xml:space="preserve">Who administers it.</w:t>
      </w:r>
      <w:r>
        <w:t xml:space="preserve"> The Education Authority, funded by the Department of Education (NI).</w:t>
      </w:r>
    </w:p>
    <w:p>
      <w:pPr>
        <w:spacing w:after="80" w:before="80"/>
      </w:pPr>
      <w:r>
        <w:rPr>
          <w:b/>
          <w:bCs/>
        </w:rPr>
        <w:t xml:space="preserve">How PAES qualifies.</w:t>
      </w:r>
      <w:r>
        <w:t xml:space="preserve"> A PAES Lab in an NI special school or specialist unit would be funded through the EA's SEN capital and revenue routes, aligned with statements and, increasingly, the Enhanced Support Model.</w:t>
      </w:r>
    </w:p>
    <w:p>
      <w:pPr>
        <w:pStyle w:val="ListParagraph"/>
        <w:numPr>
          <w:ilvl w:val="0"/>
          <w:numId w:val="2"/>
        </w:numPr>
        <w:spacing w:after="40" w:before="40"/>
      </w:pPr>
      <w:hyperlink w:history="1" r:id="rIdyyma5xef7bx1ibo7pwu5f">
        <w:r>
          <w:rPr>
            <w:rStyle w:val="Hyperlink"/>
            <w:color w:val="1D8B8B"/>
            <w:u w:val="single"/>
          </w:rPr>
          <w:t xml:space="preserve">Education Authority</w:t>
        </w:r>
      </w:hyperlink>
    </w:p>
    <w:p>
      <w:pPr>
        <w:pStyle w:val="ListParagraph"/>
        <w:numPr>
          <w:ilvl w:val="0"/>
          <w:numId w:val="2"/>
        </w:numPr>
        <w:spacing w:after="40" w:before="40"/>
      </w:pPr>
      <w:hyperlink w:history="1" r:id="rIde7pxuz_uc6tnr7z9xdisl">
        <w:r>
          <w:rPr>
            <w:rStyle w:val="Hyperlink"/>
            <w:color w:val="1D8B8B"/>
            <w:u w:val="single"/>
          </w:rPr>
          <w:t xml:space="preserve">Department of Education NI</w:t>
        </w:r>
      </w:hyperlink>
    </w:p>
    <w:p>
      <w:pPr>
        <w:pStyle w:val="Heading4"/>
      </w:pPr>
      <w:r>
        <w:t xml:space="preserve">Training for Success</w:t>
      </w:r>
    </w:p>
    <w:p>
      <w:pPr>
        <w:spacing w:after="80" w:before="80"/>
      </w:pPr>
      <w:r>
        <w:rPr>
          <w:b/>
          <w:bCs/>
        </w:rPr>
        <w:t xml:space="preserve">What it is.</w:t>
      </w:r>
      <w:r>
        <w:t xml:space="preserve"> Training for Success is Northern Ireland's entry-level vocational training programme for young people aged 16 to 17 (and up to 24 for those with a disability or in care). Introduced in 2007, it offers skills development, essential skills, and work-based learning.</w:t>
      </w:r>
    </w:p>
    <w:p>
      <w:pPr>
        <w:spacing w:after="80" w:before="80"/>
      </w:pPr>
      <w:r>
        <w:rPr>
          <w:b/>
          <w:bCs/>
        </w:rPr>
        <w:t xml:space="preserve">Who administers it.</w:t>
      </w:r>
      <w:r>
        <w:t xml:space="preserve"> Department for the Economy (DfE NI), delivered by contracted training suppliers.</w:t>
      </w:r>
    </w:p>
    <w:p>
      <w:pPr>
        <w:spacing w:after="80" w:before="80"/>
      </w:pPr>
      <w:r>
        <w:rPr>
          <w:b/>
          <w:bCs/>
        </w:rPr>
        <w:t xml:space="preserve">How PAES qualifies.</w:t>
      </w:r>
      <w:r>
        <w:t xml:space="preserve"> Training for Success providers supporting learners with additional needs can use a PAES Lab as part of initial vocational assessment. Funding comes through provider contracts rather than direct capital awards.</w:t>
      </w:r>
    </w:p>
    <w:p>
      <w:pPr>
        <w:pStyle w:val="ListParagraph"/>
        <w:numPr>
          <w:ilvl w:val="0"/>
          <w:numId w:val="2"/>
        </w:numPr>
        <w:spacing w:after="40" w:before="40"/>
      </w:pPr>
      <w:hyperlink w:history="1" r:id="rIdxtmgernwhshtgon0bg10t">
        <w:r>
          <w:rPr>
            <w:rStyle w:val="Hyperlink"/>
            <w:color w:val="1D8B8B"/>
            <w:u w:val="single"/>
          </w:rPr>
          <w:t xml:space="preserve">Training for Success statistics</w:t>
        </w:r>
      </w:hyperlink>
    </w:p>
    <w:p>
      <w:pPr>
        <w:pStyle w:val="Heading4"/>
      </w:pPr>
      <w:r>
        <w:t xml:space="preserve">PACE and related programmes</w:t>
      </w:r>
    </w:p>
    <w:p>
      <w:pPr>
        <w:spacing w:after="80" w:before="80"/>
      </w:pPr>
      <w:r>
        <w:rPr>
          <w:b/>
          <w:bCs/>
        </w:rPr>
        <w:t xml:space="preserve">What it is.</w:t>
      </w:r>
      <w:r>
        <w:t xml:space="preserve"> The Department for the Economy employment and skills portfolio includes PACE (youth training and support), Skill Up (£23 million over two years for further and higher education training places) and Skills Focus (90 per cent funded employer skills programme).</w:t>
      </w:r>
    </w:p>
    <w:p>
      <w:pPr>
        <w:spacing w:after="80" w:before="80"/>
      </w:pPr>
      <w:r>
        <w:rPr>
          <w:b/>
          <w:bCs/>
        </w:rPr>
        <w:t xml:space="preserve">How PAES qualifies.</w:t>
      </w:r>
      <w:r>
        <w:t xml:space="preserve"> Where these programmes include a SEND or complex-needs cohort, a PAES Lab fits the assessment and vocational profiling stage.</w:t>
      </w:r>
    </w:p>
    <w:p>
      <w:pPr>
        <w:pStyle w:val="ListParagraph"/>
        <w:numPr>
          <w:ilvl w:val="0"/>
          <w:numId w:val="2"/>
        </w:numPr>
        <w:spacing w:after="40" w:before="40"/>
      </w:pPr>
      <w:hyperlink w:history="1" r:id="rIdlco8wfqra2ldxfwtkkcjj">
        <w:r>
          <w:rPr>
            <w:rStyle w:val="Hyperlink"/>
            <w:color w:val="1D8B8B"/>
            <w:u w:val="single"/>
          </w:rPr>
          <w:t xml:space="preserve">Department for the Economy employment and skills programmes</w:t>
        </w:r>
      </w:hyperlink>
    </w:p>
    <w:p>
      <w:pPr>
        <w:pBdr>
          <w:bottom w:val="single" w:color="E5E7EB" w:sz="6" w:space="1"/>
        </w:pBdr>
        <w:spacing w:after="120" w:before="120"/>
      </w:pPr>
      <w:r>
        <w:t xml:space="preserve"/>
      </w:r>
    </w:p>
    <w:p>
      <w:pPr>
        <w:pStyle w:val="Heading2"/>
      </w:pPr>
      <w:r>
        <w:t xml:space="preserve">4. International and private funding routes</w:t>
      </w:r>
    </w:p>
    <w:p>
      <w:pPr>
        <w:spacing w:after="80" w:before="80"/>
      </w:pPr>
      <w:r>
        <w:t xml:space="preserve">For independent special schools, charities, and non-state providers, the following routes can fund or co-fund a PAES Lab.</w:t>
      </w:r>
    </w:p>
    <w:p>
      <w:pPr>
        <w:pStyle w:val="Heading3"/>
      </w:pPr>
      <w:r>
        <w:t xml:space="preserve">4.1 The National Lottery Community Fund</w:t>
      </w:r>
    </w:p>
    <w:p>
      <w:pPr>
        <w:spacing w:after="80" w:before="80"/>
      </w:pPr>
      <w:r>
        <w:rPr>
          <w:b/>
          <w:bCs/>
        </w:rPr>
        <w:t xml:space="preserve">What it is.</w:t>
      </w:r>
      <w:r>
        <w:t xml:space="preserve"> The National Lottery Community Fund distributes National Lottery funding to charities, community groups, and not-for-profit organisations across the UK. Programmes include Awards for All England, Scotland, Wales and Northern Ireland (grants between £300 and £20,000 for up to two years), and larger multi-year programmes through the UK Fund and national portfolios.</w:t>
      </w:r>
    </w:p>
    <w:p>
      <w:pPr>
        <w:spacing w:after="80" w:before="80"/>
      </w:pPr>
      <w:r>
        <w:rPr>
          <w:b/>
          <w:bCs/>
        </w:rPr>
        <w:t xml:space="preserve">How PAES qualifies.</w:t>
      </w:r>
      <w:r>
        <w:t xml:space="preserve"> A charity or community-based special educational provider can apply for Community Fund grants for projects that benefit a defined community of young people with SEND. Awards for All grants are generally revenue; larger programme grants can cover capital with a strong community-benefit case.</w:t>
      </w:r>
    </w:p>
    <w:p>
      <w:pPr>
        <w:pStyle w:val="ListParagraph"/>
        <w:numPr>
          <w:ilvl w:val="0"/>
          <w:numId w:val="2"/>
        </w:numPr>
        <w:spacing w:after="40" w:before="40"/>
      </w:pPr>
      <w:hyperlink w:history="1" r:id="rIdxcz_2tpaygdhxflp558or">
        <w:r>
          <w:rPr>
            <w:rStyle w:val="Hyperlink"/>
            <w:color w:val="1D8B8B"/>
            <w:u w:val="single"/>
          </w:rPr>
          <w:t xml:space="preserve">The National Lottery Community Fund</w:t>
        </w:r>
      </w:hyperlink>
    </w:p>
    <w:p>
      <w:pPr>
        <w:pStyle w:val="ListParagraph"/>
        <w:numPr>
          <w:ilvl w:val="0"/>
          <w:numId w:val="2"/>
        </w:numPr>
        <w:spacing w:after="40" w:before="40"/>
      </w:pPr>
      <w:hyperlink w:history="1" r:id="rIdhifrkp3zkxutipqa-ot7j">
        <w:r>
          <w:rPr>
            <w:rStyle w:val="Hyperlink"/>
            <w:color w:val="1D8B8B"/>
            <w:u w:val="single"/>
          </w:rPr>
          <w:t xml:space="preserve">National Lottery Awards for All England</w:t>
        </w:r>
      </w:hyperlink>
    </w:p>
    <w:p>
      <w:pPr>
        <w:pStyle w:val="Heading3"/>
      </w:pPr>
      <w:r>
        <w:t xml:space="preserve">4.2 Charitable trusts and foundations with a SEND remit</w:t>
      </w:r>
    </w:p>
    <w:p>
      <w:pPr>
        <w:spacing w:after="80" w:before="80"/>
      </w:pPr>
      <w:r>
        <w:t xml:space="preserve">A sector of several hundred UK grant-making trusts and foundations that fund equipment, buildings, and services for young people with learning difficulties and disabilities. Named examples with a demonstrable SEND-relevant remit include:</w:t>
      </w:r>
    </w:p>
    <w:p>
      <w:pPr>
        <w:pStyle w:val="ListParagraph"/>
        <w:numPr>
          <w:ilvl w:val="0"/>
          <w:numId w:val="2"/>
        </w:numPr>
        <w:spacing w:after="40" w:before="40"/>
      </w:pPr>
      <w:r>
        <w:rPr>
          <w:b/>
          <w:bCs/>
        </w:rPr>
        <w:t xml:space="preserve">The Baily Thomas Charitable Fund</w:t>
      </w:r>
      <w:r>
        <w:t xml:space="preserve">: funds UK charities, schools and PTAs supporting people with severe learning difficulties. </w:t>
      </w:r>
      <w:hyperlink w:history="1" r:id="rIdl7svbnbj1yjqiqoumgfg9">
        <w:r>
          <w:rPr>
            <w:rStyle w:val="Hyperlink"/>
            <w:color w:val="1D8B8B"/>
            <w:u w:val="single"/>
          </w:rPr>
          <w:t xml:space="preserve">Baily Thomas</w:t>
        </w:r>
      </w:hyperlink>
    </w:p>
    <w:p>
      <w:pPr>
        <w:pStyle w:val="ListParagraph"/>
        <w:numPr>
          <w:ilvl w:val="0"/>
          <w:numId w:val="2"/>
        </w:numPr>
        <w:spacing w:after="40" w:before="40"/>
      </w:pPr>
      <w:r>
        <w:rPr>
          <w:b/>
          <w:bCs/>
        </w:rPr>
        <w:t xml:space="preserve">The Clothworkers' Foundation</w:t>
      </w:r>
      <w:r>
        <w:t xml:space="preserve">: funds UK registered charities, CICs, and not-for-profits, including special schools, for capital projects. </w:t>
      </w:r>
      <w:hyperlink w:history="1" r:id="rId90dtcfykclderfcdownw5">
        <w:r>
          <w:rPr>
            <w:rStyle w:val="Hyperlink"/>
            <w:color w:val="1D8B8B"/>
            <w:u w:val="single"/>
          </w:rPr>
          <w:t xml:space="preserve">The Clothworkers' Foundation</w:t>
        </w:r>
      </w:hyperlink>
    </w:p>
    <w:p>
      <w:pPr>
        <w:pStyle w:val="ListParagraph"/>
        <w:numPr>
          <w:ilvl w:val="0"/>
          <w:numId w:val="2"/>
        </w:numPr>
        <w:spacing w:after="40" w:before="40"/>
      </w:pPr>
      <w:r>
        <w:rPr>
          <w:b/>
          <w:bCs/>
        </w:rPr>
        <w:t xml:space="preserve">Garfield Weston Foundation</w:t>
      </w:r>
      <w:r>
        <w:t xml:space="preserve">: funds community initiatives, both revenue and capital. </w:t>
      </w:r>
      <w:hyperlink w:history="1" r:id="rIdsynmqeqyb31d_82h86rct">
        <w:r>
          <w:rPr>
            <w:rStyle w:val="Hyperlink"/>
            <w:color w:val="1D8B8B"/>
            <w:u w:val="single"/>
          </w:rPr>
          <w:t xml:space="preserve">Garfield Weston Foundation</w:t>
        </w:r>
      </w:hyperlink>
    </w:p>
    <w:p>
      <w:pPr>
        <w:pStyle w:val="ListParagraph"/>
        <w:numPr>
          <w:ilvl w:val="0"/>
          <w:numId w:val="2"/>
        </w:numPr>
        <w:spacing w:after="40" w:before="40"/>
      </w:pPr>
      <w:r>
        <w:rPr>
          <w:b/>
          <w:bCs/>
        </w:rPr>
        <w:t xml:space="preserve">The Wolfson Foundation</w:t>
      </w:r>
      <w:r>
        <w:t xml:space="preserve">: funds education, health, and the arts, including capital for special schools. </w:t>
      </w:r>
      <w:hyperlink w:history="1" r:id="rIdrxde8851u5jlz80muvadj">
        <w:r>
          <w:rPr>
            <w:rStyle w:val="Hyperlink"/>
            <w:color w:val="1D8B8B"/>
            <w:u w:val="single"/>
          </w:rPr>
          <w:t xml:space="preserve">The Wolfson Foundation</w:t>
        </w:r>
      </w:hyperlink>
    </w:p>
    <w:p>
      <w:pPr>
        <w:pStyle w:val="ListParagraph"/>
        <w:numPr>
          <w:ilvl w:val="0"/>
          <w:numId w:val="2"/>
        </w:numPr>
        <w:spacing w:after="40" w:before="40"/>
      </w:pPr>
      <w:r>
        <w:rPr>
          <w:b/>
          <w:bCs/>
        </w:rPr>
        <w:t xml:space="preserve">Variety, the Children's Charity</w:t>
      </w:r>
      <w:r>
        <w:t xml:space="preserve">: grants for specialist equipment that directly benefits children with disabilities. </w:t>
      </w:r>
      <w:hyperlink w:history="1" r:id="rIddgybo1oki8qlgwjbsyb1h">
        <w:r>
          <w:rPr>
            <w:rStyle w:val="Hyperlink"/>
            <w:color w:val="1D8B8B"/>
            <w:u w:val="single"/>
          </w:rPr>
          <w:t xml:space="preserve">Variety</w:t>
        </w:r>
      </w:hyperlink>
    </w:p>
    <w:p>
      <w:pPr>
        <w:pStyle w:val="ListParagraph"/>
        <w:numPr>
          <w:ilvl w:val="0"/>
          <w:numId w:val="2"/>
        </w:numPr>
        <w:spacing w:after="40" w:before="40"/>
      </w:pPr>
      <w:r>
        <w:rPr>
          <w:b/>
          <w:bCs/>
        </w:rPr>
        <w:t xml:space="preserve">Trusthouse Charitable Foundation</w:t>
      </w:r>
      <w:r>
        <w:t xml:space="preserve">: grants to charities for running costs and capital projects. </w:t>
      </w:r>
      <w:hyperlink w:history="1" r:id="rIdfkleskwhjdk_wg-dn4clq">
        <w:r>
          <w:rPr>
            <w:rStyle w:val="Hyperlink"/>
            <w:color w:val="1D8B8B"/>
            <w:u w:val="single"/>
          </w:rPr>
          <w:t xml:space="preserve">Trusthouse Charitable Foundation</w:t>
        </w:r>
      </w:hyperlink>
    </w:p>
    <w:p>
      <w:pPr>
        <w:spacing w:after="80" w:before="80"/>
      </w:pPr>
      <w:r>
        <w:rPr>
          <w:b/>
          <w:bCs/>
        </w:rPr>
        <w:t xml:space="preserve">How PAES qualifies.</w:t>
      </w:r>
      <w:r>
        <w:t xml:space="preserve"> A PAES Lab is a defined capital item with a clear cost, a named beneficiary group (young people with SEND), and measurable outcomes. This is the shape of project most capital-grant trusts are built to fund.</w:t>
      </w:r>
    </w:p>
    <w:p>
      <w:pPr>
        <w:pStyle w:val="ListParagraph"/>
        <w:numPr>
          <w:ilvl w:val="0"/>
          <w:numId w:val="2"/>
        </w:numPr>
        <w:spacing w:after="40" w:before="40"/>
      </w:pPr>
      <w:hyperlink w:history="1" r:id="rIdd4qym8rkrvzacn24at55i">
        <w:r>
          <w:rPr>
            <w:rStyle w:val="Hyperlink"/>
            <w:color w:val="1D8B8B"/>
            <w:u w:val="single"/>
          </w:rPr>
          <w:t xml:space="preserve">Disability Rights UK: Funding from charitable trusts</w:t>
        </w:r>
      </w:hyperlink>
    </w:p>
    <w:p>
      <w:pPr>
        <w:pStyle w:val="Heading3"/>
      </w:pPr>
      <w:r>
        <w:t xml:space="preserve">4.3 Independent special school fees and capital</w:t>
      </w:r>
    </w:p>
    <w:p>
      <w:pPr>
        <w:spacing w:after="80" w:before="80"/>
      </w:pPr>
      <w:r>
        <w:rPr>
          <w:b/>
          <w:bCs/>
        </w:rPr>
        <w:t xml:space="preserve">What it is.</w:t>
      </w:r>
      <w:r>
        <w:t xml:space="preserve"> Independent special schools named in Section I of an EHCP are funded by the commissioning local authority. Institute for Fiscal Studies analysis quotes an average independent special school cost of around £61,500 per year compared with £23,900 in the state-funded sector.</w:t>
      </w:r>
    </w:p>
    <w:p>
      <w:pPr>
        <w:spacing w:after="80" w:before="80"/>
      </w:pPr>
      <w:r>
        <w:rPr>
          <w:b/>
          <w:bCs/>
        </w:rPr>
        <w:t xml:space="preserve">How PAES qualifies.</w:t>
      </w:r>
      <w:r>
        <w:t xml:space="preserve"> Independent special schools can include the capital cost of a PAES Lab within their fee model (amortised over the lifespan of the equipment and the expected pupil throughput). A strong commissioning proposition references PAES as part of the school's preparation for adulthood offer.</w:t>
      </w:r>
    </w:p>
    <w:p>
      <w:pPr>
        <w:pStyle w:val="Heading3"/>
      </w:pPr>
      <w:r>
        <w:t xml:space="preserve">4.4 Corporate, CSR and philanthropic routes</w:t>
      </w:r>
    </w:p>
    <w:p>
      <w:pPr>
        <w:spacing w:after="80" w:before="80"/>
      </w:pPr>
      <w:r>
        <w:t xml:space="preserve">Corporate social responsibility programmes and individual philanthropy fund SEND-related capital in several ways: direct grants from corporate foundations, employee-nominated giving, staff fundraising, and gift-in-kind. Employers with an interest in future workforce pipelines, especially for neurodivergent talent, are strong prospects; naming rights or partnership framing is common.</w:t>
      </w:r>
    </w:p>
    <w:p>
      <w:pPr>
        <w:pBdr>
          <w:bottom w:val="single" w:color="E5E7EB" w:sz="6" w:space="1"/>
        </w:pBdr>
        <w:spacing w:after="120" w:before="120"/>
      </w:pPr>
      <w:r>
        <w:t xml:space="preserve"/>
      </w:r>
    </w:p>
    <w:p>
      <w:pPr>
        <w:pStyle w:val="Heading2"/>
      </w:pPr>
      <w:r>
        <w:t xml:space="preserve">Document use notes</w:t>
      </w:r>
    </w:p>
    <w:p>
      <w:pPr>
        <w:pStyle w:val="ListParagraph"/>
        <w:numPr>
          <w:ilvl w:val="0"/>
          <w:numId w:val="2"/>
        </w:numPr>
        <w:spacing w:after="40" w:before="40"/>
      </w:pPr>
      <w:r>
        <w:t xml:space="preserve">Update funding figures annually. The Department for Education publishes high needs operational guides and funding allocations each financial year.</w:t>
      </w:r>
    </w:p>
    <w:p>
      <w:pPr>
        <w:pStyle w:val="ListParagraph"/>
        <w:numPr>
          <w:ilvl w:val="0"/>
          <w:numId w:val="2"/>
        </w:numPr>
        <w:spacing w:after="40" w:before="40"/>
      </w:pPr>
      <w:r>
        <w:t xml:space="preserve">Devolved funding changes more frequently than English DSG. Check with Mayoral Combined Authorities or the relevant devolved government before quoting specific figures.</w:t>
      </w:r>
    </w:p>
    <w:p>
      <w:pPr>
        <w:pStyle w:val="ListParagraph"/>
        <w:numPr>
          <w:ilvl w:val="0"/>
          <w:numId w:val="2"/>
        </w:numPr>
        <w:spacing w:after="40" w:before="40"/>
      </w:pPr>
      <w:r>
        <w:t xml:space="preserve">Funding is almost always a combination, not a single source. A worked example for a £45,000 PAES Lab might be: £25,000 from HNPCA (local authority), £10,000 from a charitable trust, £5,000 from a corporate foundation, and £5,000 from school/college reserves, with ongoing consumables and staffing funded through 16 to 19 High Needs element 3.</w:t>
      </w:r>
    </w:p>
    <w:p>
      <w:pPr>
        <w:pStyle w:val="ListParagraph"/>
        <w:numPr>
          <w:ilvl w:val="0"/>
          <w:numId w:val="2"/>
        </w:numPr>
        <w:spacing w:after="40" w:before="40"/>
      </w:pPr>
      <w:r>
        <w:t xml:space="preserve">The UK proof point is </w:t>
      </w:r>
      <w:hyperlink w:history="1" r:id="rIdxgjrsf4407y2bi_y17usw">
        <w:r>
          <w:rPr>
            <w:rStyle w:val="Hyperlink"/>
            <w:color w:val="1D8B8B"/>
            <w:u w:val="single"/>
          </w:rPr>
          <w:t xml:space="preserve">Lighthouse Futures Trust</w:t>
        </w:r>
      </w:hyperlink>
      <w:r>
        <w:t xml:space="preserve">, which operates a PAES Lab to inform its supported internship pathway.</w:t>
      </w:r>
    </w:p>
    <w:p>
      <w:pPr>
        <w:pStyle w:val="Heading1"/>
      </w:pPr>
      <w:r>
        <w:t xml:space="preserve">Additional and less-obvious funding routes (UK)</w:t>
      </w:r>
    </w:p>
    <w:p>
      <w:pPr>
        <w:spacing w:after="80" w:before="80"/>
      </w:pPr>
      <w:r>
        <w:t xml:space="preserve">The national, devolved, and philanthropic sections already cover the core system. These are the routes that are less well known but have funded SEND equipment, vocational provision, and transition programming in UK schools, colleges, and community settings.</w:t>
      </w:r>
    </w:p>
    <w:p>
      <w:pPr>
        <w:pBdr>
          <w:bottom w:val="single" w:color="E5E7EB" w:sz="6" w:space="1"/>
        </w:pBdr>
        <w:spacing w:after="120" w:before="120"/>
      </w:pPr>
      <w:r>
        <w:t xml:space="preserve"/>
      </w:r>
    </w:p>
    <w:p>
      <w:pPr>
        <w:pStyle w:val="Heading2"/>
      </w:pPr>
      <w:r>
        <w:t xml:space="preserve">Health and social care streams (often forgotten)</w:t>
      </w:r>
    </w:p>
    <w:p>
      <w:pPr>
        <w:pStyle w:val="Heading3"/>
      </w:pPr>
      <w:r>
        <w:t xml:space="preserve">Integrated Care Boards (ICBs) and the Better Care Fund</w:t>
      </w:r>
    </w:p>
    <w:p>
      <w:pPr>
        <w:spacing w:after="80" w:before="80"/>
      </w:pPr>
      <w:r>
        <w:t xml:space="preserve">ICBs are the regional NHS bodies that plan and commission health services for a local population (42 ICBs in England). The Better Care Fund (BCF) is a jointly commissioned budget between ICBs and local authorities covering health and social care integration, including support for people with learning disabilities and autism. A PAES Lab that delivers assessment feeding into integrated discharge, transition, or keeping-well pathways can be commissioned through an ICB or funded through a BCF pooled budget.</w:t>
      </w:r>
    </w:p>
    <w:p>
      <w:pPr>
        <w:spacing w:after="80" w:before="80"/>
      </w:pPr>
      <w:r>
        <w:rPr>
          <w:b/>
          <w:bCs/>
        </w:rPr>
        <w:t xml:space="preserve">Authoritative links:</w:t>
      </w:r>
      <w:r>
        <w:t xml:space="preserve"> </w:t>
      </w:r>
      <w:hyperlink w:history="1" r:id="rIdmbo_flbgdgzzdlhbvaljj">
        <w:r>
          <w:rPr>
            <w:rStyle w:val="Hyperlink"/>
            <w:color w:val="1D8B8B"/>
            <w:u w:val="single"/>
          </w:rPr>
          <w:t xml:space="preserve">england.nhs.uk/integratedcare/integrated-care-boards</w:t>
        </w:r>
      </w:hyperlink>
      <w:r>
        <w:t xml:space="preserve">; </w:t>
      </w:r>
      <w:hyperlink w:history="1" r:id="rIdkct6gdfqi_6vekik08gwz">
        <w:r>
          <w:rPr>
            <w:rStyle w:val="Hyperlink"/>
            <w:color w:val="1D8B8B"/>
            <w:u w:val="single"/>
          </w:rPr>
          <w:t xml:space="preserve">NHS England Better Care Fund</w:t>
        </w:r>
      </w:hyperlink>
    </w:p>
    <w:p>
      <w:pPr>
        <w:pStyle w:val="Heading3"/>
      </w:pPr>
      <w:r>
        <w:t xml:space="preserve">NHS England Learning Disability and Autism Programme</w:t>
      </w:r>
    </w:p>
    <w:p>
      <w:pPr>
        <w:spacing w:after="80" w:before="80"/>
      </w:pPr>
      <w:r>
        <w:t xml:space="preserve">Dedicated NHS England programme that funds community capacity building around learning disability and autism, including transforming care. Providers delivering preparation-for-adulthood and employment pathways for this population can bid into programme-level funding.</w:t>
      </w:r>
    </w:p>
    <w:p>
      <w:pPr>
        <w:spacing w:after="80" w:before="80"/>
      </w:pPr>
      <w:r>
        <w:rPr>
          <w:b/>
          <w:bCs/>
        </w:rPr>
        <w:t xml:space="preserve">Authoritative link:</w:t>
      </w:r>
      <w:r>
        <w:t xml:space="preserve"> </w:t>
      </w:r>
      <w:hyperlink w:history="1" r:id="rId8ttyrd9imjov08okfq3od">
        <w:r>
          <w:rPr>
            <w:rStyle w:val="Hyperlink"/>
            <w:color w:val="1D8B8B"/>
            <w:u w:val="single"/>
          </w:rPr>
          <w:t xml:space="preserve">england.nhs.uk/learning-disabilities</w:t>
        </w:r>
      </w:hyperlink>
    </w:p>
    <w:p>
      <w:pPr>
        <w:pStyle w:val="Heading3"/>
      </w:pPr>
      <w:r>
        <w:t xml:space="preserve">Disabled Facilities Grant (DFG)</w:t>
      </w:r>
    </w:p>
    <w:p>
      <w:pPr>
        <w:spacing w:after="80" w:before="80"/>
      </w:pPr>
      <w:r>
        <w:t xml:space="preserve">Local authority grants for home adaptations for disabled people. Not a school funding source, but worth mentioning: if a PAES Lab is used to inform recommendations that feed into DFG applications for a young person's home environment, it is part of a bigger funded pathway.</w:t>
      </w:r>
    </w:p>
    <w:p>
      <w:pPr>
        <w:pBdr>
          <w:bottom w:val="single" w:color="E5E7EB" w:sz="6" w:space="1"/>
        </w:pBdr>
        <w:spacing w:after="120" w:before="120"/>
      </w:pPr>
      <w:r>
        <w:t xml:space="preserve"/>
      </w:r>
    </w:p>
    <w:p>
      <w:pPr>
        <w:pStyle w:val="Heading2"/>
      </w:pPr>
      <w:r>
        <w:t xml:space="preserve">Grants for families and individual learners</w:t>
      </w:r>
    </w:p>
    <w:p>
      <w:pPr>
        <w:pStyle w:val="Heading3"/>
      </w:pPr>
      <w:r>
        <w:t xml:space="preserve">Family Fund</w:t>
      </w:r>
    </w:p>
    <w:p>
      <w:pPr>
        <w:spacing w:after="80" w:before="80"/>
      </w:pPr>
      <w:r>
        <w:t xml:space="preserve">The largest UK charity supporting families raising disabled or seriously ill children on low incomes. Grants cover equipment, sensory items, short breaks, technology, and play. Not a direct funder of a full PAES Lab, but a relevant part of the ecosystem. Family Fund grants often fund the iPads and devices families need to use alongside school-based PAES assessment.</w:t>
      </w:r>
    </w:p>
    <w:p>
      <w:pPr>
        <w:spacing w:after="80" w:before="80"/>
      </w:pPr>
      <w:r>
        <w:rPr>
          <w:b/>
          <w:bCs/>
        </w:rPr>
        <w:t xml:space="preserve">Authoritative link:</w:t>
      </w:r>
      <w:r>
        <w:t xml:space="preserve"> </w:t>
      </w:r>
      <w:hyperlink w:history="1" r:id="rId-4fjndicmtdapa7cvcsal">
        <w:r>
          <w:rPr>
            <w:rStyle w:val="Hyperlink"/>
            <w:color w:val="1D8B8B"/>
            <w:u w:val="single"/>
          </w:rPr>
          <w:t xml:space="preserve">familyfund.org.uk</w:t>
        </w:r>
      </w:hyperlink>
    </w:p>
    <w:p>
      <w:pPr>
        <w:pStyle w:val="Heading3"/>
      </w:pPr>
      <w:r>
        <w:t xml:space="preserve">Motability Foundation (grants programme)</w:t>
      </w:r>
    </w:p>
    <w:p>
      <w:pPr>
        <w:spacing w:after="80" w:before="80"/>
      </w:pPr>
      <w:r>
        <w:t xml:space="preserve">The Motability Foundation grants programme funds charities and non-profits working on disability mobility, inclusion, and independence. Grants can fund specialist equipment and capital projects in disability services. This is distinct from the Motability Scheme for individual vehicle leasing.</w:t>
      </w:r>
    </w:p>
    <w:p>
      <w:pPr>
        <w:spacing w:after="80" w:before="80"/>
      </w:pPr>
      <w:r>
        <w:rPr>
          <w:b/>
          <w:bCs/>
        </w:rPr>
        <w:t xml:space="preserve">Authoritative link:</w:t>
      </w:r>
      <w:r>
        <w:t xml:space="preserve"> </w:t>
      </w:r>
      <w:hyperlink w:history="1" r:id="rIdjcc_dxkbbyr1ef7wuprwc">
        <w:r>
          <w:rPr>
            <w:rStyle w:val="Hyperlink"/>
            <w:color w:val="1D8B8B"/>
            <w:u w:val="single"/>
          </w:rPr>
          <w:t xml:space="preserve">motabilityfoundation.org.uk</w:t>
        </w:r>
      </w:hyperlink>
    </w:p>
    <w:p>
      <w:pPr>
        <w:pStyle w:val="Heading3"/>
      </w:pPr>
      <w:r>
        <w:t xml:space="preserve">Turing Scheme</w:t>
      </w:r>
    </w:p>
    <w:p>
      <w:pPr>
        <w:spacing w:after="80" w:before="80"/>
      </w:pPr>
      <w:r>
        <w:t xml:space="preserve">UK government replacement for Erasmus+, funding international study and work placements for UK learners including those with SEND. Not a PAES Lab capital source, but relevant when PAES outputs support applications for placements under Turing.</w:t>
      </w:r>
    </w:p>
    <w:p>
      <w:pPr>
        <w:spacing w:after="80" w:before="80"/>
      </w:pPr>
      <w:r>
        <w:rPr>
          <w:b/>
          <w:bCs/>
        </w:rPr>
        <w:t xml:space="preserve">Authoritative link:</w:t>
      </w:r>
      <w:r>
        <w:t xml:space="preserve"> </w:t>
      </w:r>
      <w:hyperlink w:history="1" r:id="rIdvmz_uw9jbu1cm9bqtqoxf">
        <w:r>
          <w:rPr>
            <w:rStyle w:val="Hyperlink"/>
            <w:color w:val="1D8B8B"/>
            <w:u w:val="single"/>
          </w:rPr>
          <w:t xml:space="preserve">turing-scheme.org.uk</w:t>
        </w:r>
      </w:hyperlink>
    </w:p>
    <w:p>
      <w:pPr>
        <w:pBdr>
          <w:bottom w:val="single" w:color="E5E7EB" w:sz="6" w:space="1"/>
        </w:pBdr>
        <w:spacing w:after="120" w:before="120"/>
      </w:pPr>
      <w:r>
        <w:t xml:space="preserve"/>
      </w:r>
    </w:p>
    <w:p>
      <w:pPr>
        <w:pStyle w:val="Heading2"/>
      </w:pPr>
      <w:r>
        <w:t xml:space="preserve">Youth, skills, and employment programmes</w:t>
      </w:r>
    </w:p>
    <w:p>
      <w:pPr>
        <w:pStyle w:val="Heading3"/>
      </w:pPr>
      <w:r>
        <w:t xml:space="preserve">King's Trust (formerly The Prince's Trust)</w:t>
      </w:r>
    </w:p>
    <w:p>
      <w:pPr>
        <w:spacing w:after="80" w:before="80"/>
      </w:pPr>
      <w:r>
        <w:t xml:space="preserve">UK charity supporting young people aged 11 to 30. Programmes include Get Started, Get Into, Team, and Enterprise, with dedicated streams for young people with additional needs. King's Trust partners with schools and colleges and can co-fund or co-deliver transition programmes; a PAES Lab is relevant infrastructure for their Get Into pathways.</w:t>
      </w:r>
    </w:p>
    <w:p>
      <w:pPr>
        <w:spacing w:after="80" w:before="80"/>
      </w:pPr>
      <w:r>
        <w:rPr>
          <w:b/>
          <w:bCs/>
        </w:rPr>
        <w:t xml:space="preserve">Authoritative link:</w:t>
      </w:r>
      <w:r>
        <w:t xml:space="preserve"> </w:t>
      </w:r>
      <w:hyperlink w:history="1" r:id="rIdy91ig8syokn3xvicbrpo_">
        <w:r>
          <w:rPr>
            <w:rStyle w:val="Hyperlink"/>
            <w:color w:val="1D8B8B"/>
            <w:u w:val="single"/>
          </w:rPr>
          <w:t xml:space="preserve">kingstrust.org.uk</w:t>
        </w:r>
      </w:hyperlink>
    </w:p>
    <w:p>
      <w:pPr>
        <w:pStyle w:val="Heading3"/>
      </w:pPr>
      <w:r>
        <w:t xml:space="preserve">Skills for Care (for adult social care workforce)</w:t>
      </w:r>
    </w:p>
    <w:p>
      <w:pPr>
        <w:spacing w:after="80" w:before="80"/>
      </w:pPr>
      <w:r>
        <w:t xml:space="preserve">Skills for Care funds workforce development in adult social care. Where a PAES Lab is used to train adult social care staff or to deliver employment assessment for people supported by adult social care, Skills for Care workforce development grants are possible.</w:t>
      </w:r>
    </w:p>
    <w:p>
      <w:pPr>
        <w:spacing w:after="80" w:before="80"/>
      </w:pPr>
      <w:r>
        <w:rPr>
          <w:b/>
          <w:bCs/>
        </w:rPr>
        <w:t xml:space="preserve">Authoritative link:</w:t>
      </w:r>
      <w:r>
        <w:t xml:space="preserve"> </w:t>
      </w:r>
      <w:hyperlink w:history="1" r:id="rId4pyy7hoaduolmij_19u4q">
        <w:r>
          <w:rPr>
            <w:rStyle w:val="Hyperlink"/>
            <w:color w:val="1D8B8B"/>
            <w:u w:val="single"/>
          </w:rPr>
          <w:t xml:space="preserve">skillsforcare.org.uk</w:t>
        </w:r>
      </w:hyperlink>
    </w:p>
    <w:p>
      <w:pPr>
        <w:pStyle w:val="Heading3"/>
      </w:pPr>
      <w:r>
        <w:t xml:space="preserve">Career Transition Partnership (military)</w:t>
      </w:r>
    </w:p>
    <w:p>
      <w:pPr>
        <w:spacing w:after="80" w:before="80"/>
      </w:pPr>
      <w:r>
        <w:t xml:space="preserve">Funds career transition support for Service leavers, some of whom have disabilities acquired in service. Where a PAES-based service supports Service leavers, the CTP funding route is relevant.</w:t>
      </w:r>
    </w:p>
    <w:p>
      <w:pPr>
        <w:pBdr>
          <w:bottom w:val="single" w:color="E5E7EB" w:sz="6" w:space="1"/>
        </w:pBdr>
        <w:spacing w:after="120" w:before="120"/>
      </w:pPr>
      <w:r>
        <w:t xml:space="preserve"/>
      </w:r>
    </w:p>
    <w:p>
      <w:pPr>
        <w:pStyle w:val="Heading2"/>
      </w:pPr>
      <w:r>
        <w:t xml:space="preserve">Charitable trusts specifically focused on disability and inclusion</w:t>
      </w:r>
    </w:p>
    <w:p>
      <w:pPr>
        <w:spacing w:after="80" w:before="80"/>
      </w:pPr>
      <w:r>
        <w:t xml:space="preserve">Extending the earlier list with more narrowly focused funders:</w:t>
      </w:r>
    </w:p>
    <w:p>
      <w:pPr>
        <w:pStyle w:val="ListParagraph"/>
        <w:numPr>
          <w:ilvl w:val="0"/>
          <w:numId w:val="2"/>
        </w:numPr>
        <w:spacing w:after="40" w:before="40"/>
      </w:pPr>
      <w:r>
        <w:rPr>
          <w:b/>
          <w:bCs/>
        </w:rPr>
        <w:t xml:space="preserve">Autism Education Trust (AET)</w:t>
      </w:r>
      <w:r>
        <w:t xml:space="preserve">: funded by the DfE, provides training and resources; occasionally runs project funding calls.</w:t>
      </w:r>
    </w:p>
    <w:p>
      <w:pPr>
        <w:pStyle w:val="ListParagraph"/>
        <w:numPr>
          <w:ilvl w:val="0"/>
          <w:numId w:val="2"/>
        </w:numPr>
        <w:spacing w:after="40" w:before="40"/>
      </w:pPr>
      <w:r>
        <w:rPr>
          <w:b/>
          <w:bCs/>
        </w:rPr>
        <w:t xml:space="preserve">Ambitious about Autism</w:t>
      </w:r>
      <w:r>
        <w:t xml:space="preserve">: runs Ambitious College in London and commissions providers across the autism sector. Grantmaking is less common but partnership routes are active.</w:t>
      </w:r>
    </w:p>
    <w:p>
      <w:pPr>
        <w:pStyle w:val="ListParagraph"/>
        <w:numPr>
          <w:ilvl w:val="0"/>
          <w:numId w:val="2"/>
        </w:numPr>
        <w:spacing w:after="40" w:before="40"/>
      </w:pPr>
      <w:r>
        <w:rPr>
          <w:b/>
          <w:bCs/>
        </w:rPr>
        <w:t xml:space="preserve">Mencap and Royal Mencap Society</w:t>
      </w:r>
      <w:r>
        <w:t xml:space="preserve">: operate services and occasionally fund partner organisations.</w:t>
      </w:r>
    </w:p>
    <w:p>
      <w:pPr>
        <w:pStyle w:val="ListParagraph"/>
        <w:numPr>
          <w:ilvl w:val="0"/>
          <w:numId w:val="2"/>
        </w:numPr>
        <w:spacing w:after="40" w:before="40"/>
      </w:pPr>
      <w:r>
        <w:rPr>
          <w:b/>
          <w:bCs/>
        </w:rPr>
        <w:t xml:space="preserve">The Shaw Trust</w:t>
      </w:r>
      <w:r>
        <w:t xml:space="preserve">: delivers employment services and has a foundation arm.</w:t>
      </w:r>
    </w:p>
    <w:p>
      <w:pPr>
        <w:pStyle w:val="ListParagraph"/>
        <w:numPr>
          <w:ilvl w:val="0"/>
          <w:numId w:val="2"/>
        </w:numPr>
        <w:spacing w:after="40" w:before="40"/>
      </w:pPr>
      <w:r>
        <w:rPr>
          <w:b/>
          <w:bCs/>
        </w:rPr>
        <w:t xml:space="preserve">Action for Children</w:t>
      </w:r>
      <w:r>
        <w:t xml:space="preserve">: funds projects for children and young people facing disadvantage including SEND.</w:t>
      </w:r>
    </w:p>
    <w:p>
      <w:pPr>
        <w:pStyle w:val="ListParagraph"/>
        <w:numPr>
          <w:ilvl w:val="0"/>
          <w:numId w:val="2"/>
        </w:numPr>
        <w:spacing w:after="40" w:before="40"/>
      </w:pPr>
      <w:r>
        <w:rPr>
          <w:b/>
          <w:bCs/>
        </w:rPr>
        <w:t xml:space="preserve">Lankelly Chase Foundation</w:t>
      </w:r>
      <w:r>
        <w:t xml:space="preserve"> (winding down): historically funded systems change, including SEND-relevant projects.</w:t>
      </w:r>
    </w:p>
    <w:p>
      <w:pPr>
        <w:pStyle w:val="ListParagraph"/>
        <w:numPr>
          <w:ilvl w:val="0"/>
          <w:numId w:val="2"/>
        </w:numPr>
        <w:spacing w:after="40" w:before="40"/>
      </w:pPr>
      <w:r>
        <w:rPr>
          <w:b/>
          <w:bCs/>
        </w:rPr>
        <w:t xml:space="preserve">Blagrave Trust</w:t>
      </w:r>
      <w:r>
        <w:t xml:space="preserve">: youth funding with SEND relevance.</w:t>
      </w:r>
    </w:p>
    <w:p>
      <w:pPr>
        <w:pStyle w:val="ListParagraph"/>
        <w:numPr>
          <w:ilvl w:val="0"/>
          <w:numId w:val="2"/>
        </w:numPr>
        <w:spacing w:after="40" w:before="40"/>
      </w:pPr>
      <w:r>
        <w:rPr>
          <w:b/>
          <w:bCs/>
        </w:rPr>
        <w:t xml:space="preserve">KPMG Foundation</w:t>
      </w:r>
      <w:r>
        <w:t xml:space="preserve">: youth development, including literacy and numeracy for SEND young people.</w:t>
      </w:r>
    </w:p>
    <w:p>
      <w:pPr>
        <w:pStyle w:val="ListParagraph"/>
        <w:numPr>
          <w:ilvl w:val="0"/>
          <w:numId w:val="2"/>
        </w:numPr>
        <w:spacing w:after="40" w:before="40"/>
      </w:pPr>
      <w:r>
        <w:rPr>
          <w:b/>
          <w:bCs/>
        </w:rPr>
        <w:t xml:space="preserve">John Lyon's Charity</w:t>
      </w:r>
      <w:r>
        <w:t xml:space="preserve">: London and nine outer London boroughs; education and youth grants.</w:t>
      </w:r>
    </w:p>
    <w:p>
      <w:pPr>
        <w:pStyle w:val="ListParagraph"/>
        <w:numPr>
          <w:ilvl w:val="0"/>
          <w:numId w:val="2"/>
        </w:numPr>
        <w:spacing w:after="40" w:before="40"/>
      </w:pPr>
      <w:r>
        <w:rPr>
          <w:b/>
          <w:bCs/>
        </w:rPr>
        <w:t xml:space="preserve">Sir Jules Thorn Charitable Trust</w:t>
      </w:r>
      <w:r>
        <w:t xml:space="preserve">: educational and health-related grants.</w:t>
      </w:r>
    </w:p>
    <w:p>
      <w:pPr>
        <w:pStyle w:val="ListParagraph"/>
        <w:numPr>
          <w:ilvl w:val="0"/>
          <w:numId w:val="2"/>
        </w:numPr>
        <w:spacing w:after="40" w:before="40"/>
      </w:pPr>
      <w:r>
        <w:rPr>
          <w:b/>
          <w:bCs/>
        </w:rPr>
        <w:t xml:space="preserve">The Hadley Trust</w:t>
      </w:r>
      <w:r>
        <w:t xml:space="preserve">: disability and inclusion grants.</w:t>
      </w:r>
    </w:p>
    <w:p>
      <w:pPr>
        <w:pStyle w:val="ListParagraph"/>
        <w:numPr>
          <w:ilvl w:val="0"/>
          <w:numId w:val="2"/>
        </w:numPr>
        <w:spacing w:after="40" w:before="40"/>
      </w:pPr>
      <w:r>
        <w:rPr>
          <w:b/>
          <w:bCs/>
        </w:rPr>
        <w:t xml:space="preserve">Peter Cundill Foundation</w:t>
      </w:r>
      <w:r>
        <w:t xml:space="preserve">: education and youth grants.</w:t>
      </w:r>
    </w:p>
    <w:p>
      <w:pPr>
        <w:pStyle w:val="ListParagraph"/>
        <w:numPr>
          <w:ilvl w:val="0"/>
          <w:numId w:val="2"/>
        </w:numPr>
        <w:spacing w:after="40" w:before="40"/>
      </w:pPr>
      <w:r>
        <w:rPr>
          <w:b/>
          <w:bCs/>
        </w:rPr>
        <w:t xml:space="preserve">Garfield Weston Foundation (SEND-relevant)</w:t>
      </w:r>
      <w:r>
        <w:t xml:space="preserve">: mentioned earlier; worth re-emphasising for capital.</w:t>
      </w:r>
    </w:p>
    <w:p>
      <w:pPr>
        <w:spacing w:after="80" w:before="80"/>
      </w:pPr>
      <w:r>
        <w:rPr>
          <w:b/>
          <w:bCs/>
        </w:rPr>
        <w:t xml:space="preserve">Authoritative link (directory):</w:t>
      </w:r>
      <w:r>
        <w:t xml:space="preserve"> </w:t>
      </w:r>
      <w:hyperlink w:history="1" r:id="rId0zsus56nfjs7zqkfwball">
        <w:r>
          <w:rPr>
            <w:rStyle w:val="Hyperlink"/>
            <w:color w:val="1D8B8B"/>
            <w:u w:val="single"/>
          </w:rPr>
          <w:t xml:space="preserve">Association of Charitable Foundations</w:t>
        </w:r>
      </w:hyperlink>
    </w:p>
    <w:p>
      <w:pPr>
        <w:pStyle w:val="Heading3"/>
      </w:pPr>
      <w:r>
        <w:t xml:space="preserve">Community foundations</w:t>
      </w:r>
    </w:p>
    <w:p>
      <w:pPr>
        <w:spacing w:after="80" w:before="80"/>
      </w:pPr>
      <w:r>
        <w:t xml:space="preserve">Every English region has a community foundation (e.g. London Community Foundation, Leeds Community Foundation, Birmingham and Black Country Community Foundation, Manchester Community Foundation, Bristol and Bath, Tyne and Wear, Two Ridings). Scotland has Foundation Scotland. Wales has Community Foundation Wales. Northern Ireland has Community Foundation Northern Ireland. These foundations hold donor-advised funds that can flow to named local projects; a PAES Lab with a defined beneficiary group is an ideal fit.</w:t>
      </w:r>
    </w:p>
    <w:p>
      <w:pPr>
        <w:spacing w:after="80" w:before="80"/>
      </w:pPr>
      <w:r>
        <w:rPr>
          <w:b/>
          <w:bCs/>
        </w:rPr>
        <w:t xml:space="preserve">Authoritative link:</w:t>
      </w:r>
      <w:r>
        <w:t xml:space="preserve"> </w:t>
      </w:r>
      <w:hyperlink w:history="1" r:id="rId81igb84p4hw7j-qqmobva">
        <w:r>
          <w:rPr>
            <w:rStyle w:val="Hyperlink"/>
            <w:color w:val="1D8B8B"/>
            <w:u w:val="single"/>
          </w:rPr>
          <w:t xml:space="preserve">UK Community Foundations</w:t>
        </w:r>
      </w:hyperlink>
    </w:p>
    <w:p>
      <w:pPr>
        <w:pBdr>
          <w:bottom w:val="single" w:color="E5E7EB" w:sz="6" w:space="1"/>
        </w:pBdr>
        <w:spacing w:after="120" w:before="120"/>
      </w:pPr>
      <w:r>
        <w:t xml:space="preserve"/>
      </w:r>
    </w:p>
    <w:p>
      <w:pPr>
        <w:pStyle w:val="Heading2"/>
      </w:pPr>
      <w:r>
        <w:t xml:space="preserve">Lottery and charitable giving</w:t>
      </w:r>
    </w:p>
    <w:p>
      <w:pPr>
        <w:pStyle w:val="Heading3"/>
      </w:pPr>
      <w:r>
        <w:t xml:space="preserve">BBC Children in Need</w:t>
      </w:r>
    </w:p>
    <w:p>
      <w:pPr>
        <w:spacing w:after="80" w:before="80"/>
      </w:pPr>
      <w:r>
        <w:t xml:space="preserve">Grants to projects working with disadvantaged children and young people, including SEND. Grants run from small (under £15,000) to large multi-year programmes. A specialist provision or community charity running PAES-based services could apply where serving children in one of their priority areas.</w:t>
      </w:r>
    </w:p>
    <w:p>
      <w:pPr>
        <w:spacing w:after="80" w:before="80"/>
      </w:pPr>
      <w:r>
        <w:rPr>
          <w:b/>
          <w:bCs/>
        </w:rPr>
        <w:t xml:space="preserve">Authoritative link:</w:t>
      </w:r>
      <w:r>
        <w:t xml:space="preserve"> </w:t>
      </w:r>
      <w:hyperlink w:history="1" r:id="rId5bdqxfhaabiuodjms-zl7">
        <w:r>
          <w:rPr>
            <w:rStyle w:val="Hyperlink"/>
            <w:color w:val="1D8B8B"/>
            <w:u w:val="single"/>
          </w:rPr>
          <w:t xml:space="preserve">bbcchildreninneed.co.uk/grants</w:t>
        </w:r>
      </w:hyperlink>
    </w:p>
    <w:p>
      <w:pPr>
        <w:pStyle w:val="Heading3"/>
      </w:pPr>
      <w:r>
        <w:t xml:space="preserve">Comic Relief</w:t>
      </w:r>
    </w:p>
    <w:p>
      <w:pPr>
        <w:spacing w:after="80" w:before="80"/>
      </w:pPr>
      <w:r>
        <w:t xml:space="preserve">Funds UK organisations tackling social injustice, including disability. Grant programmes vary by year; check current open calls.</w:t>
      </w:r>
    </w:p>
    <w:p>
      <w:pPr>
        <w:spacing w:after="80" w:before="80"/>
      </w:pPr>
      <w:r>
        <w:rPr>
          <w:b/>
          <w:bCs/>
        </w:rPr>
        <w:t xml:space="preserve">Authoritative link:</w:t>
      </w:r>
      <w:r>
        <w:t xml:space="preserve"> </w:t>
      </w:r>
      <w:hyperlink w:history="1" r:id="rId3ftfcra7qxtu_qgvfezki">
        <w:r>
          <w:rPr>
            <w:rStyle w:val="Hyperlink"/>
            <w:color w:val="1D8B8B"/>
            <w:u w:val="single"/>
          </w:rPr>
          <w:t xml:space="preserve">comicrelief.com/funding</w:t>
        </w:r>
      </w:hyperlink>
    </w:p>
    <w:p>
      <w:pPr>
        <w:pStyle w:val="Heading3"/>
      </w:pPr>
      <w:r>
        <w:t xml:space="preserve">Sport England</w:t>
      </w:r>
    </w:p>
    <w:p>
      <w:pPr>
        <w:spacing w:after="80" w:before="80"/>
      </w:pPr>
      <w:r>
        <w:t xml:space="preserve">Funds disability sport, including equipment and participation programmes. Where a PAES Lab includes physical activity or leads into sport pathways, Sport England grants can support the adjacent infrastructure.</w:t>
      </w:r>
    </w:p>
    <w:p>
      <w:pPr>
        <w:spacing w:after="80" w:before="80"/>
      </w:pPr>
      <w:r>
        <w:rPr>
          <w:b/>
          <w:bCs/>
        </w:rPr>
        <w:t xml:space="preserve">Authoritative link:</w:t>
      </w:r>
      <w:r>
        <w:t xml:space="preserve"> </w:t>
      </w:r>
      <w:hyperlink w:history="1" r:id="rId7pnrgp6dxtvgpuvqllajx">
        <w:r>
          <w:rPr>
            <w:rStyle w:val="Hyperlink"/>
            <w:color w:val="1D8B8B"/>
            <w:u w:val="single"/>
          </w:rPr>
          <w:t xml:space="preserve">sportengland.org/funds</w:t>
        </w:r>
      </w:hyperlink>
    </w:p>
    <w:p>
      <w:pPr>
        <w:pStyle w:val="Heading3"/>
      </w:pPr>
      <w:r>
        <w:t xml:space="preserve">The Postcode Lottery Trusts</w:t>
      </w:r>
    </w:p>
    <w:p>
      <w:pPr>
        <w:spacing w:after="80" w:before="80"/>
      </w:pPr>
      <w:r>
        <w:t xml:space="preserve">People's Postcode Trust, Postcode Community Trust, and related funds distribute grants to UK charities. Several have SEND or inclusion relevance.</w:t>
      </w:r>
    </w:p>
    <w:p>
      <w:pPr>
        <w:spacing w:after="80" w:before="80"/>
      </w:pPr>
      <w:r>
        <w:rPr>
          <w:b/>
          <w:bCs/>
        </w:rPr>
        <w:t xml:space="preserve">Authoritative link:</w:t>
      </w:r>
      <w:r>
        <w:t xml:space="preserve"> </w:t>
      </w:r>
      <w:hyperlink w:history="1" r:id="rIdb85is_pxaame_el3yiq_k">
        <w:r>
          <w:rPr>
            <w:rStyle w:val="Hyperlink"/>
            <w:color w:val="1D8B8B"/>
            <w:u w:val="single"/>
          </w:rPr>
          <w:t xml:space="preserve">postcodetrust.org.uk</w:t>
        </w:r>
      </w:hyperlink>
    </w:p>
    <w:p>
      <w:pPr>
        <w:pBdr>
          <w:bottom w:val="single" w:color="E5E7EB" w:sz="6" w:space="1"/>
        </w:pBdr>
        <w:spacing w:after="120" w:before="120"/>
      </w:pPr>
      <w:r>
        <w:t xml:space="preserve"/>
      </w:r>
    </w:p>
    <w:p>
      <w:pPr>
        <w:pStyle w:val="Heading2"/>
      </w:pPr>
      <w:r>
        <w:t xml:space="preserve">For specific provider types</w:t>
      </w:r>
    </w:p>
    <w:p>
      <w:pPr>
        <w:pStyle w:val="Heading3"/>
      </w:pPr>
      <w:r>
        <w:t xml:space="preserve">Independent special schools: EHCP commissioning</w:t>
      </w:r>
    </w:p>
    <w:p>
      <w:pPr>
        <w:spacing w:after="80" w:before="80"/>
      </w:pPr>
      <w:r>
        <w:t xml:space="preserve">Already covered, but worth re-emphasising: in the ISC fee model, a PAES Lab is amortised across placement fees. A strong commissioning prospectus to local authorities names PAES as part of the preparation-for-adulthood offer and justifies the fee level with PAES-linked outcomes.</w:t>
      </w:r>
    </w:p>
    <w:p>
      <w:pPr>
        <w:pStyle w:val="Heading3"/>
      </w:pPr>
      <w:r>
        <w:t xml:space="preserve">FE colleges</w:t>
      </w:r>
    </w:p>
    <w:p>
      <w:pPr>
        <w:spacing w:after="80" w:before="80"/>
      </w:pPr>
      <w:r>
        <w:t xml:space="preserve">Colleges have additional streams beyond the 16 to 19 funding and AEB:</w:t>
      </w:r>
    </w:p>
    <w:p>
      <w:pPr>
        <w:pStyle w:val="ListParagraph"/>
        <w:numPr>
          <w:ilvl w:val="0"/>
          <w:numId w:val="2"/>
        </w:numPr>
        <w:spacing w:after="40" w:before="40"/>
      </w:pPr>
      <w:r>
        <w:rPr>
          <w:b/>
          <w:bCs/>
        </w:rPr>
        <w:t xml:space="preserve">Office for Students (OfS) Access and Participation Plans</w:t>
      </w:r>
      <w:r>
        <w:t xml:space="preserve">: for HE-in-FE provision, access and participation funds can support outreach to disabled learners.</w:t>
      </w:r>
    </w:p>
    <w:p>
      <w:pPr>
        <w:pStyle w:val="ListParagraph"/>
        <w:numPr>
          <w:ilvl w:val="0"/>
          <w:numId w:val="2"/>
        </w:numPr>
        <w:spacing w:after="40" w:before="40"/>
      </w:pPr>
      <w:r>
        <w:rPr>
          <w:b/>
          <w:bCs/>
        </w:rPr>
        <w:t xml:space="preserve">Strategic Priorities Grant</w:t>
      </w:r>
      <w:r>
        <w:t xml:space="preserve">: OfS funding to HEIs and FECs with HE provision.</w:t>
      </w:r>
    </w:p>
    <w:p>
      <w:pPr>
        <w:pStyle w:val="ListParagraph"/>
        <w:numPr>
          <w:ilvl w:val="0"/>
          <w:numId w:val="2"/>
        </w:numPr>
        <w:spacing w:after="40" w:before="40"/>
      </w:pPr>
      <w:r>
        <w:rPr>
          <w:b/>
          <w:bCs/>
        </w:rPr>
        <w:t xml:space="preserve">Enhanced Capital Allowances</w:t>
      </w:r>
      <w:r>
        <w:t xml:space="preserve">: not a grant, but useful for tax planning on equipment purchases in private providers.</w:t>
      </w:r>
    </w:p>
    <w:p>
      <w:pPr>
        <w:pStyle w:val="Heading3"/>
      </w:pPr>
      <w:r>
        <w:t xml:space="preserve">Special schools that are MATs (multi-academy trusts)</w:t>
      </w:r>
    </w:p>
    <w:p>
      <w:pPr>
        <w:spacing w:after="80" w:before="80"/>
      </w:pPr>
      <w:r>
        <w:t xml:space="preserve">Trust-level capital and revenue funding allows central investment decisions. Where a MAT has multiple special schools, a trust-wide PAES rollout is more cost-effective than site-by-site.</w:t>
      </w:r>
    </w:p>
    <w:p>
      <w:pPr>
        <w:pStyle w:val="Heading3"/>
      </w:pPr>
      <w:r>
        <w:t xml:space="preserve">Local authorities as direct commissioners</w:t>
      </w:r>
    </w:p>
    <w:p>
      <w:pPr>
        <w:spacing w:after="80" w:before="80"/>
      </w:pPr>
      <w:r>
        <w:t xml:space="preserve">Local authorities commission specialist assessment services directly in some areas (EHCP needs assessment, post-16 transitions). Where the LA directly commissions, a PAES-based service can be on the framework.</w:t>
      </w:r>
    </w:p>
    <w:p>
      <w:pPr>
        <w:pBdr>
          <w:bottom w:val="single" w:color="E5E7EB" w:sz="6" w:space="1"/>
        </w:pBdr>
        <w:spacing w:after="120" w:before="120"/>
      </w:pPr>
      <w:r>
        <w:t xml:space="preserve"/>
      </w:r>
    </w:p>
    <w:p>
      <w:pPr>
        <w:pStyle w:val="Heading2"/>
      </w:pPr>
      <w:r>
        <w:t xml:space="preserve">For Scottish, Welsh, and Northern Irish settings</w:t>
      </w:r>
    </w:p>
    <w:p>
      <w:pPr>
        <w:spacing w:after="80" w:before="80"/>
      </w:pPr>
      <w:r>
        <w:t xml:space="preserve">In addition to the devolved streams covered in the main document:</w:t>
      </w:r>
    </w:p>
    <w:p>
      <w:pPr>
        <w:pStyle w:val="Heading3"/>
      </w:pPr>
      <w:r>
        <w:t xml:space="preserve">Scotland</w:t>
      </w:r>
    </w:p>
    <w:p>
      <w:pPr>
        <w:pStyle w:val="ListParagraph"/>
        <w:numPr>
          <w:ilvl w:val="0"/>
          <w:numId w:val="2"/>
        </w:numPr>
        <w:spacing w:after="40" w:before="40"/>
      </w:pPr>
      <w:r>
        <w:rPr>
          <w:b/>
          <w:bCs/>
        </w:rPr>
        <w:t xml:space="preserve">Young Start</w:t>
      </w:r>
      <w:r>
        <w:t xml:space="preserve"> (National Lottery Community Fund Scotland): grants to projects that support young people's wellbeing, relationships, confidence, and skills.</w:t>
      </w:r>
    </w:p>
    <w:p>
      <w:pPr>
        <w:pStyle w:val="ListParagraph"/>
        <w:numPr>
          <w:ilvl w:val="0"/>
          <w:numId w:val="2"/>
        </w:numPr>
        <w:spacing w:after="40" w:before="40"/>
      </w:pPr>
      <w:r>
        <w:rPr>
          <w:b/>
          <w:bCs/>
        </w:rPr>
        <w:t xml:space="preserve">CashBack for Communities</w:t>
      </w:r>
      <w:r>
        <w:t xml:space="preserve"> (Scottish Government): grants from proceeds of crime reinvested in youth programmes.</w:t>
      </w:r>
    </w:p>
    <w:p>
      <w:pPr>
        <w:pStyle w:val="ListParagraph"/>
        <w:numPr>
          <w:ilvl w:val="0"/>
          <w:numId w:val="2"/>
        </w:numPr>
        <w:spacing w:after="40" w:before="40"/>
      </w:pPr>
      <w:r>
        <w:rPr>
          <w:b/>
          <w:bCs/>
        </w:rPr>
        <w:t xml:space="preserve">Scottish Enterprise and Highlands and Islands Enterprise</w:t>
      </w:r>
      <w:r>
        <w:t xml:space="preserve"> workforce development funds.</w:t>
      </w:r>
    </w:p>
    <w:p>
      <w:pPr>
        <w:pStyle w:val="ListParagraph"/>
        <w:numPr>
          <w:ilvl w:val="0"/>
          <w:numId w:val="2"/>
        </w:numPr>
        <w:spacing w:after="40" w:before="40"/>
      </w:pPr>
      <w:r>
        <w:rPr>
          <w:b/>
          <w:bCs/>
        </w:rPr>
        <w:t xml:space="preserve">Creative Scotland</w:t>
      </w:r>
      <w:r>
        <w:t xml:space="preserve">: for arts-based transition programmes.</w:t>
      </w:r>
    </w:p>
    <w:p>
      <w:pPr>
        <w:pStyle w:val="Heading3"/>
      </w:pPr>
      <w:r>
        <w:t xml:space="preserve">Wales</w:t>
      </w:r>
    </w:p>
    <w:p>
      <w:pPr>
        <w:pStyle w:val="ListParagraph"/>
        <w:numPr>
          <w:ilvl w:val="0"/>
          <w:numId w:val="2"/>
        </w:numPr>
        <w:spacing w:after="40" w:before="40"/>
      </w:pPr>
      <w:r>
        <w:rPr>
          <w:b/>
          <w:bCs/>
        </w:rPr>
        <w:t xml:space="preserve">Welsh Government Community Facilities Programme</w:t>
      </w:r>
      <w:r>
        <w:t xml:space="preserve">: capital grants for community facilities.</w:t>
      </w:r>
    </w:p>
    <w:p>
      <w:pPr>
        <w:pStyle w:val="ListParagraph"/>
        <w:numPr>
          <w:ilvl w:val="0"/>
          <w:numId w:val="2"/>
        </w:numPr>
        <w:spacing w:after="40" w:before="40"/>
      </w:pPr>
      <w:r>
        <w:rPr>
          <w:b/>
          <w:bCs/>
        </w:rPr>
        <w:t xml:space="preserve">Moondance Foundation</w:t>
      </w:r>
      <w:r>
        <w:t xml:space="preserve">: Welsh grants for community and education.</w:t>
      </w:r>
    </w:p>
    <w:p>
      <w:pPr>
        <w:pStyle w:val="ListParagraph"/>
        <w:numPr>
          <w:ilvl w:val="0"/>
          <w:numId w:val="2"/>
        </w:numPr>
        <w:spacing w:after="40" w:before="40"/>
      </w:pPr>
      <w:r>
        <w:rPr>
          <w:b/>
          <w:bCs/>
        </w:rPr>
        <w:t xml:space="preserve">Waterloo Foundation</w:t>
      </w:r>
      <w:r>
        <w:t xml:space="preserve">: Wales-based grants with education and child development streams.</w:t>
      </w:r>
    </w:p>
    <w:p>
      <w:pPr>
        <w:pStyle w:val="Heading3"/>
      </w:pPr>
      <w:r>
        <w:t xml:space="preserve">Northern Ireland</w:t>
      </w:r>
    </w:p>
    <w:p>
      <w:pPr>
        <w:pStyle w:val="ListParagraph"/>
        <w:numPr>
          <w:ilvl w:val="0"/>
          <w:numId w:val="2"/>
        </w:numPr>
        <w:spacing w:after="40" w:before="40"/>
      </w:pPr>
      <w:r>
        <w:rPr>
          <w:b/>
          <w:bCs/>
        </w:rPr>
        <w:t xml:space="preserve">Community Foundation Northern Ireland</w:t>
      </w:r>
      <w:r>
        <w:t xml:space="preserve">: regional grants.</w:t>
      </w:r>
    </w:p>
    <w:p>
      <w:pPr>
        <w:pStyle w:val="ListParagraph"/>
        <w:numPr>
          <w:ilvl w:val="0"/>
          <w:numId w:val="2"/>
        </w:numPr>
        <w:spacing w:after="40" w:before="40"/>
      </w:pPr>
      <w:r>
        <w:rPr>
          <w:b/>
          <w:bCs/>
        </w:rPr>
        <w:t xml:space="preserve">Youth Service NI</w:t>
      </w:r>
      <w:r>
        <w:t xml:space="preserve">: Education Authority Youth Service grants for youth work.</w:t>
      </w:r>
    </w:p>
    <w:p>
      <w:pPr>
        <w:pStyle w:val="ListParagraph"/>
        <w:numPr>
          <w:ilvl w:val="0"/>
          <w:numId w:val="2"/>
        </w:numPr>
        <w:spacing w:after="40" w:before="40"/>
      </w:pPr>
      <w:r>
        <w:rPr>
          <w:b/>
          <w:bCs/>
        </w:rPr>
        <w:t xml:space="preserve">Inspiring Impact NI</w:t>
      </w:r>
      <w:r>
        <w:t xml:space="preserve">: evaluation and capacity-building support.</w:t>
      </w:r>
    </w:p>
    <w:p>
      <w:pPr>
        <w:pBdr>
          <w:bottom w:val="single" w:color="E5E7EB" w:sz="6" w:space="1"/>
        </w:pBdr>
        <w:spacing w:after="120" w:before="120"/>
      </w:pPr>
      <w:r>
        <w:t xml:space="preserve"/>
      </w:r>
    </w:p>
    <w:p>
      <w:pPr>
        <w:pStyle w:val="Heading2"/>
      </w:pPr>
      <w:r>
        <w:t xml:space="preserve">How to stack sources in the UK</w:t>
      </w:r>
    </w:p>
    <w:p>
      <w:pPr>
        <w:spacing w:after="80" w:before="80"/>
      </w:pPr>
      <w:r>
        <w:t xml:space="preserve">A realistic combination for a £40,000 PAES Lab in a UK special school:</w:t>
      </w:r>
    </w:p>
    <w:p>
      <w:pPr>
        <w:pStyle w:val="ListParagraph"/>
        <w:numPr>
          <w:ilvl w:val="0"/>
          <w:numId w:val="2"/>
        </w:numPr>
        <w:spacing w:after="40" w:before="40"/>
      </w:pPr>
      <w:r>
        <w:rPr>
          <w:b/>
          <w:bCs/>
        </w:rPr>
        <w:t xml:space="preserve">Capital build</w:t>
      </w:r>
      <w:r>
        <w:t xml:space="preserve">: High Needs Provision Capital Allocation from the local authority (£20-25K) plus a Clothworkers' Foundation or Garfield Weston grant (£10-15K) plus a local community foundation grant (£5K).</w:t>
      </w:r>
    </w:p>
    <w:p>
      <w:pPr>
        <w:pStyle w:val="ListParagraph"/>
        <w:numPr>
          <w:ilvl w:val="0"/>
          <w:numId w:val="2"/>
        </w:numPr>
        <w:spacing w:after="40" w:before="40"/>
      </w:pPr>
      <w:r>
        <w:rPr>
          <w:b/>
          <w:bCs/>
        </w:rPr>
        <w:t xml:space="preserve">Ongoing consumables and staffing</w:t>
      </w:r>
      <w:r>
        <w:t xml:space="preserve">: 16 to 19 High Needs element 3 top-ups plus EHCP-specified provision funding.</w:t>
      </w:r>
    </w:p>
    <w:p>
      <w:pPr>
        <w:pStyle w:val="ListParagraph"/>
        <w:numPr>
          <w:ilvl w:val="0"/>
          <w:numId w:val="2"/>
        </w:numPr>
        <w:spacing w:after="40" w:before="40"/>
      </w:pPr>
      <w:r>
        <w:rPr>
          <w:b/>
          <w:bCs/>
        </w:rPr>
        <w:t xml:space="preserve">Practitioner training</w:t>
      </w:r>
      <w:r>
        <w:t xml:space="preserve">: in-house CPD budget plus Autism Education Trust resources where autism-specific.</w:t>
      </w:r>
    </w:p>
    <w:p>
      <w:pPr>
        <w:pStyle w:val="ListParagraph"/>
        <w:numPr>
          <w:ilvl w:val="0"/>
          <w:numId w:val="2"/>
        </w:numPr>
        <w:spacing w:after="40" w:before="40"/>
      </w:pPr>
      <w:r>
        <w:rPr>
          <w:b/>
          <w:bCs/>
        </w:rPr>
        <w:t xml:space="preserve">Family engagement</w:t>
      </w:r>
      <w:r>
        <w:t xml:space="preserve">: Family Fund grants direct to families for complementary equipment (iPads, sensory resources).</w:t>
      </w:r>
    </w:p>
    <w:p>
      <w:pPr>
        <w:spacing w:after="80" w:before="80"/>
      </w:pPr>
      <w:r>
        <w:t xml:space="preserve">For an independent special school: place fees absorb the capital amortisation, combined with philanthropy for accelerated rollout.</w:t>
      </w:r>
    </w:p>
    <w:p>
      <w:pPr>
        <w:spacing w:after="80" w:before="80"/>
      </w:pPr>
      <w:r>
        <w:t xml:space="preserve">For an FE college: High Needs 16 to 19 place funding plus Adult Skills Fund plus one-off capital grants from trusts or the devolved adult education budget.</w:t>
      </w:r>
    </w:p>
    <w:p>
      <w:pPr>
        <w:pBdr>
          <w:bottom w:val="single" w:color="E5E7EB" w:sz="6" w:space="1"/>
        </w:pBdr>
        <w:spacing w:after="120" w:before="120"/>
      </w:pPr>
      <w:r>
        <w:t xml:space="preserve"/>
      </w:r>
    </w:p>
    <w:p>
      <w:pPr>
        <w:pStyle w:val="Heading2"/>
      </w:pPr>
      <w:r>
        <w:t xml:space="preserve">Finally: a desperate buyer's guide</w:t>
      </w:r>
    </w:p>
    <w:p>
      <w:pPr>
        <w:spacing w:after="80" w:before="80"/>
      </w:pPr>
      <w:r>
        <w:t xml:space="preserve">If the standard funding routes are closed or slow and a child or young person is waiting, these accelerators have worked:</w:t>
      </w:r>
    </w:p>
    <w:p>
      <w:pPr>
        <w:pStyle w:val="ListParagraph"/>
        <w:numPr>
          <w:ilvl w:val="0"/>
          <w:numId w:val="3"/>
        </w:numPr>
        <w:spacing w:after="40" w:before="40"/>
      </w:pPr>
      <w:r>
        <w:rPr>
          <w:b/>
          <w:bCs/>
        </w:rPr>
        <w:t xml:space="preserve">Name the young person in the application.</w:t>
      </w:r>
      <w:r>
        <w:t xml:space="preserve"> "This lab will serve [X named students] starting September" wins over abstract applications.</w:t>
      </w:r>
    </w:p>
    <w:p>
      <w:pPr>
        <w:pStyle w:val="ListParagraph"/>
        <w:numPr>
          <w:ilvl w:val="0"/>
          <w:numId w:val="3"/>
        </w:numPr>
        <w:spacing w:after="40" w:before="40"/>
      </w:pPr>
      <w:r>
        <w:rPr>
          <w:b/>
          <w:bCs/>
        </w:rPr>
        <w:t xml:space="preserve">Stack small grants fast.</w:t>
      </w:r>
      <w:r>
        <w:t xml:space="preserve"> Three £5,000 grants from three service clubs reach a £15,000 match as quickly as one larger grant review.</w:t>
      </w:r>
    </w:p>
    <w:p>
      <w:pPr>
        <w:pStyle w:val="ListParagraph"/>
        <w:numPr>
          <w:ilvl w:val="0"/>
          <w:numId w:val="3"/>
        </w:numPr>
        <w:spacing w:after="40" w:before="40"/>
      </w:pPr>
      <w:r>
        <w:rPr>
          <w:b/>
          <w:bCs/>
        </w:rPr>
        <w:t xml:space="preserve">Offer naming or co-branding.</w:t>
      </w:r>
      <w:r>
        <w:t xml:space="preserve"> A corporate foundation will often release funds faster when a room, wall, or corner carries their mark.</w:t>
      </w:r>
    </w:p>
    <w:p>
      <w:pPr>
        <w:pStyle w:val="ListParagraph"/>
        <w:numPr>
          <w:ilvl w:val="0"/>
          <w:numId w:val="3"/>
        </w:numPr>
        <w:spacing w:after="40" w:before="40"/>
      </w:pPr>
      <w:r>
        <w:rPr>
          <w:b/>
          <w:bCs/>
        </w:rPr>
        <w:t xml:space="preserve">Approach community foundations with donor-advised funds directly.</w:t>
      </w:r>
      <w:r>
        <w:t xml:space="preserve"> Donors can sometimes direct an existing fund to your project within weeks, much faster than competitive cycles.</w:t>
      </w:r>
    </w:p>
    <w:p>
      <w:pPr>
        <w:pStyle w:val="ListParagraph"/>
        <w:numPr>
          <w:ilvl w:val="0"/>
          <w:numId w:val="3"/>
        </w:numPr>
        <w:spacing w:after="40" w:before="40"/>
      </w:pPr>
      <w:r>
        <w:rPr>
          <w:b/>
          <w:bCs/>
        </w:rPr>
        <w:t xml:space="preserve">Use local MPs and councillors.</w:t>
      </w:r>
      <w:r>
        <w:t xml:space="preserve"> Named political constituency work often unlocks LA capital budgets that would otherwise be held in reserve.</w:t>
      </w:r>
    </w:p>
    <w:p>
      <w:pPr>
        <w:pStyle w:val="ListParagraph"/>
        <w:numPr>
          <w:ilvl w:val="0"/>
          <w:numId w:val="3"/>
        </w:numPr>
        <w:spacing w:after="40" w:before="40"/>
      </w:pPr>
      <w:r>
        <w:rPr>
          <w:b/>
          <w:bCs/>
        </w:rPr>
        <w:t xml:space="preserve">Partner with a teaching-school hub or Multi-Academy Trust.</w:t>
      </w:r>
      <w:r>
        <w:t xml:space="preserve"> Central purchasing or research-and-development funds can move faster than a single school's budget cycle.</w:t>
      </w:r>
    </w:p>
    <w:p>
      <w:pPr>
        <w:pStyle w:val="ListParagraph"/>
        <w:numPr>
          <w:ilvl w:val="0"/>
          <w:numId w:val="3"/>
        </w:numPr>
        <w:spacing w:after="40" w:before="40"/>
      </w:pPr>
      <w:r>
        <w:rPr>
          <w:b/>
          <w:bCs/>
        </w:rPr>
        <w:t xml:space="preserve">Approach parent groups early.</w:t>
      </w:r>
      <w:r>
        <w:t xml:space="preserve"> PTA fundraising, charity walks, and parent-led appeals have built PAES rooms before a bond cycle finished.</w:t>
      </w:r>
    </w:p>
    <w:p>
      <w:pPr>
        <w:spacing w:after="80" w:before="80"/>
      </w:pPr>
      <w:r>
        <w:t xml:space="preserve">Funding for SEND equipment is rarely straightforward. It is almost always relational, layered, and time-consuming. Start the conversation in all three lanes (statutory, philanthropic, community) at once and the money usually comes together faster than any one lane would predict.</w:t>
      </w:r>
    </w:p>
    <w:sectPr>
      <w:headerReference w:type="default" r:id="rId7"/>
      <w:footerReference w:type="default" r:id="rId8"/>
      <w:pgSz w:w="12240" w:h="15840" w:orient="portrait"/>
      <w:pgMar w:top="216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PAES Productions, LLC  ·  145 W Broadway, Suite 20, Mesa, AZ 85210  ·  Page </w:t>
    </w:r>
    <w:r>
      <w:rPr>
        <w:rFonts w:ascii="Arial" w:cs="Arial" w:eastAsia="Arial" w:hAnsi="Arial"/>
        <w:color w:val="6B7280"/>
        <w:sz w:val="16"/>
        <w:szCs w:val="16"/>
      </w:rPr>
      <w:fldChar w:fldCharType="begin"/>
      <w:instrText xml:space="preserve">PAGE</w:instrText>
      <w:fldChar w:fldCharType="separate"/>
      <w:fldChar w:fldCharType="end"/>
    </w:r>
    <w:r>
      <w:rPr>
        <w:rFonts w:ascii="Arial" w:cs="Arial" w:eastAsia="Arial" w:hAnsi="Arial"/>
        <w:color w:val="6B7280"/>
        <w:sz w:val="16"/>
        <w:szCs w:val="16"/>
      </w:rPr>
      <w:t xml:space="preserve"> of </w:t>
    </w:r>
    <w:r>
      <w:rPr>
        <w:rFonts w:ascii="Arial" w:cs="Arial" w:eastAsia="Arial" w:hAnsi="Arial"/>
        <w:color w:val="6B7280"/>
        <w:sz w:val="16"/>
        <w:szCs w:val="16"/>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jc w:val="left"/>
    </w:pPr>
    <w:r>
      <w:drawing>
        <wp:inline distT="0" distB="0" distL="0" distR="0">
          <wp:extent cx="5486400" cy="895350"/>
          <wp:effectExtent t="0" r="0" b="0" l="0"/>
          <wp:docPr id="1" name="paes_logo" descr="PAES Productions banner" title="PA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86400" cy="8953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Arial" w:cs="Arial" w:eastAsia="Arial" w:hAnsi="Arial"/>
      <w:b/>
      <w:bCs/>
      <w:color w:val="0F2E4C"/>
      <w:sz w:val="40"/>
      <w:szCs w:val="40"/>
    </w:rPr>
  </w:style>
  <w:style w:type="paragraph" w:styleId="Heading2">
    <w:name w:val="Heading 2"/>
    <w:basedOn w:val="Normal"/>
    <w:next w:val="Normal"/>
    <w:qFormat/>
    <w:pPr>
      <w:spacing w:after="160" w:before="360"/>
      <w:outlineLvl w:val="1"/>
    </w:pPr>
    <w:rPr>
      <w:rFonts w:ascii="Arial" w:cs="Arial" w:eastAsia="Arial" w:hAnsi="Arial"/>
      <w:b/>
      <w:bCs/>
      <w:color w:val="0F2E4C"/>
      <w:sz w:val="30"/>
      <w:szCs w:val="30"/>
    </w:rPr>
  </w:style>
  <w:style w:type="paragraph" w:styleId="Heading3">
    <w:name w:val="Heading 3"/>
    <w:basedOn w:val="Normal"/>
    <w:next w:val="Normal"/>
    <w:qFormat/>
    <w:pPr>
      <w:spacing w:after="120" w:before="240"/>
      <w:outlineLvl w:val="2"/>
    </w:pPr>
    <w:rPr>
      <w:rFonts w:ascii="Arial" w:cs="Arial" w:eastAsia="Arial" w:hAnsi="Arial"/>
      <w:b/>
      <w:bCs/>
      <w:color w:val="1D8B8B"/>
      <w:sz w:val="26"/>
      <w:szCs w:val="26"/>
    </w:rPr>
  </w:style>
  <w:style w:type="paragraph" w:styleId="Heading4">
    <w:name w:val="Heading 4"/>
    <w:basedOn w:val="Normal"/>
    <w:next w:val="Normal"/>
    <w:qFormat/>
    <w:pPr>
      <w:spacing w:after="100" w:before="180"/>
      <w:outlineLvl w:val="3"/>
    </w:pPr>
    <w:rPr>
      <w:rFonts w:ascii="Arial" w:cs="Arial" w:eastAsia="Arial" w:hAnsi="Arial"/>
      <w:b/>
      <w:bCs/>
      <w:color w:val="0F2E4C"/>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fscqlt494b8_ohzl9jgv" Type="http://schemas.openxmlformats.org/officeDocument/2006/relationships/hyperlink" Target="https://paesproductions.com" TargetMode="External"/><Relationship Id="rIdrtolfn4-cqj7vd8fbwime" Type="http://schemas.openxmlformats.org/officeDocument/2006/relationships/hyperlink" Target="https://lighthousefuturestrust.org.uk/" TargetMode="External"/><Relationship Id="rId26ymmnadzkfjyjolfgs6m" Type="http://schemas.openxmlformats.org/officeDocument/2006/relationships/hyperlink" Target="https://www.legislation.gov.uk/ukpga/2014/6/contents" TargetMode="External"/><Relationship Id="rIdbx6qbogigdrh2936xjpov" Type="http://schemas.openxmlformats.org/officeDocument/2006/relationships/hyperlink" Target="https://www.gov.uk/government/publications/send-code-of-practice-0-to-25" TargetMode="External"/><Relationship Id="rIduxqgw6-jbmv-98makx_m_" Type="http://schemas.openxmlformats.org/officeDocument/2006/relationships/hyperlink" Target="https://www.gov.uk/government/publications/high-needs-funding-arrangements-2026-to-2027/high-needs-funding-2026-to-2027-operational-guide" TargetMode="External"/><Relationship Id="rId2ozd08i7ezzdfktlwiwr4" Type="http://schemas.openxmlformats.org/officeDocument/2006/relationships/hyperlink" Target="https://www.gov.uk/government/publications/dedicated-schools-grant-dsg-2026-to-2027" TargetMode="External"/><Relationship Id="rId5iqfxmcqswlp8ouxw0qwl" Type="http://schemas.openxmlformats.org/officeDocument/2006/relationships/hyperlink" Target="https://www.gov.uk/government/publications/high-needs-provision-capital-allocations/high-needs-provision-capital-allocations-guidance" TargetMode="External"/><Relationship Id="rIdsg3vro7yhw25-3z-lu1i3" Type="http://schemas.openxmlformats.org/officeDocument/2006/relationships/hyperlink" Target="https://www.gov.uk/government/publications/pupil-premium/pupil-premium" TargetMode="External"/><Relationship Id="rIduvgsrduuvomgqgczdg3bs" Type="http://schemas.openxmlformats.org/officeDocument/2006/relationships/hyperlink" Target="https://www.gov.uk/guidance/16-to-19-education-funding-allocations" TargetMode="External"/><Relationship Id="rIdwfbdol8pxyr2wytpfum7t" Type="http://schemas.openxmlformats.org/officeDocument/2006/relationships/hyperlink" Target="https://www.gov.uk/government/publications/advice-funding-rules-for-16-to-19-provision/advice-funding-rules-for-16-to-19-provision-2026-to-2027" TargetMode="External"/><Relationship Id="rIdwh4qeecyanswhgbnv9nx1" Type="http://schemas.openxmlformats.org/officeDocument/2006/relationships/hyperlink" Target="https://www.gov.uk/government/publications/adult-skills-fund-funding-rules/adult-skills-fund-funding-rules-2025-to-2026" TargetMode="External"/><Relationship Id="rIdnfp-xboy8vthcdtb_dbk5" Type="http://schemas.openxmlformats.org/officeDocument/2006/relationships/hyperlink" Target="https://www.gov.uk/government/publications/esfa-skills-bootcamps" TargetMode="External"/><Relationship Id="rIdlu9mdz8jx8gpleichz1a_" Type="http://schemas.openxmlformats.org/officeDocument/2006/relationships/hyperlink" Target="https://www.gov.uk/guidance/transferring-your-apprenticeship-levy-to-another-business" TargetMode="External"/><Relationship Id="rIdoctca-t7b56icccf8ulyl" Type="http://schemas.openxmlformats.org/officeDocument/2006/relationships/hyperlink" Target="https://www.gov.uk/disabled-students-allowance-dsa" TargetMode="External"/><Relationship Id="rIdh328micy3t__vsxzre7pf" Type="http://schemas.openxmlformats.org/officeDocument/2006/relationships/hyperlink" Target="https://www.gov.uk/access-to-work" TargetMode="External"/><Relationship Id="rIdns5f4622h_y7rd68nlf2i" Type="http://schemas.openxmlformats.org/officeDocument/2006/relationships/hyperlink" Target="https://www.gov.uk/government/publications/supported-internships-for-young-people-with-learning-difficulties" TargetMode="External"/><Relationship Id="rId4pd-6nfdv2guqegaxjyjm" Type="http://schemas.openxmlformats.org/officeDocument/2006/relationships/hyperlink" Target="https://www.gov.uk/government/publications/experts-at-hand-local-authority-send-transformation-fund/experts-at-hand-local-authority-send-transformation-fund-funding-for-local-authorities-2026-to-2027" TargetMode="External"/><Relationship Id="rIdnru5frbuzm66t-jwvjjos" Type="http://schemas.openxmlformats.org/officeDocument/2006/relationships/hyperlink" Target="https://www.gov.scot/policies/schools/additional-support-for-learning/" TargetMode="External"/><Relationship Id="rIdwi1fltaf1xh-djszgyglq" Type="http://schemas.openxmlformats.org/officeDocument/2006/relationships/hyperlink" Target="https://www.gov.scot/news/delivering-additional-support-for-learning/" TargetMode="External"/><Relationship Id="rId5o4chxwppcqqjgnbblnlg" Type="http://schemas.openxmlformats.org/officeDocument/2006/relationships/hyperlink" Target="https://www.dyw.org.uk/" TargetMode="External"/><Relationship Id="rIdev88kgmp4b28hdhiiujca" Type="http://schemas.openxmlformats.org/officeDocument/2006/relationships/hyperlink" Target="https://www.gov.scot/publications/pupil-equity-funding-national-operational-guidance-2026-27/" TargetMode="External"/><Relationship Id="rId4tf5eljebkm-efq2js2cz" Type="http://schemas.openxmlformats.org/officeDocument/2006/relationships/hyperlink" Target="https://gov.wales/18-million-strengthen-support-children-and-young-people-additional-learning-needs" TargetMode="External"/><Relationship Id="rIdpyzyiqjhiyut6ugewkjh1" Type="http://schemas.openxmlformats.org/officeDocument/2006/relationships/hyperlink" Target="https://www.gov.wales/placements-specialist-further-education-provision-transitional-arrangements-information-html" TargetMode="External"/><Relationship Id="rIdyrttix5lcae7szyx3ntfl" Type="http://schemas.openxmlformats.org/officeDocument/2006/relationships/hyperlink" Target="https://workingwales.gov.wales/jobs-growth-wales-plus" TargetMode="External"/><Relationship Id="rIdyyma5xef7bx1ibo7pwu5f" Type="http://schemas.openxmlformats.org/officeDocument/2006/relationships/hyperlink" Target="https://www.eani.org.uk/" TargetMode="External"/><Relationship Id="rIde7pxuz_uc6tnr7z9xdisl" Type="http://schemas.openxmlformats.org/officeDocument/2006/relationships/hyperlink" Target="https://www.education-ni.gov.uk/" TargetMode="External"/><Relationship Id="rIdxtmgernwhshtgon0bg10t" Type="http://schemas.openxmlformats.org/officeDocument/2006/relationships/hyperlink" Target="https://www.economy-ni.gov.uk/articles/training-success-statistics" TargetMode="External"/><Relationship Id="rIdlco8wfqra2ldxfwtkkcjj" Type="http://schemas.openxmlformats.org/officeDocument/2006/relationships/hyperlink" Target="https://www.economy-ni.gov.uk/articles/department-economy-employment-and-skills-programmes-and-careers-service" TargetMode="External"/><Relationship Id="rIdxcz_2tpaygdhxflp558or" Type="http://schemas.openxmlformats.org/officeDocument/2006/relationships/hyperlink" Target="https://www.tnlcommunityfund.org.uk/" TargetMode="External"/><Relationship Id="rIdhifrkp3zkxutipqa-ot7j" Type="http://schemas.openxmlformats.org/officeDocument/2006/relationships/hyperlink" Target="https://www.tnlcommunityfund.org.uk/funding/funding-programmes/national-lottery-awards-for-all-england/" TargetMode="External"/><Relationship Id="rIdl7svbnbj1yjqiqoumgfg9" Type="http://schemas.openxmlformats.org/officeDocument/2006/relationships/hyperlink" Target="https://www.bailythomas.org.uk/" TargetMode="External"/><Relationship Id="rId90dtcfykclderfcdownw5" Type="http://schemas.openxmlformats.org/officeDocument/2006/relationships/hyperlink" Target="https://foundation.clothworkers.co.uk/" TargetMode="External"/><Relationship Id="rIdsynmqeqyb31d_82h86rct" Type="http://schemas.openxmlformats.org/officeDocument/2006/relationships/hyperlink" Target="https://garfieldweston.org/" TargetMode="External"/><Relationship Id="rIdrxde8851u5jlz80muvadj" Type="http://schemas.openxmlformats.org/officeDocument/2006/relationships/hyperlink" Target="https://www.wolfson.org.uk/" TargetMode="External"/><Relationship Id="rIddgybo1oki8qlgwjbsyb1h" Type="http://schemas.openxmlformats.org/officeDocument/2006/relationships/hyperlink" Target="https://www.variety.org.uk/" TargetMode="External"/><Relationship Id="rIdfkleskwhjdk_wg-dn4clq" Type="http://schemas.openxmlformats.org/officeDocument/2006/relationships/hyperlink" Target="https://www.trusthousecharitablefoundation.org.uk/" TargetMode="External"/><Relationship Id="rIdd4qym8rkrvzacn24at55i" Type="http://schemas.openxmlformats.org/officeDocument/2006/relationships/hyperlink" Target="https://www.disabilityrightsuk.org/resources/funding-charitable-trusts" TargetMode="External"/><Relationship Id="rIdxgjrsf4407y2bi_y17usw" Type="http://schemas.openxmlformats.org/officeDocument/2006/relationships/hyperlink" Target="https://lighthousefuturestrust.org.uk/" TargetMode="External"/><Relationship Id="rIdmbo_flbgdgzzdlhbvaljj" Type="http://schemas.openxmlformats.org/officeDocument/2006/relationships/hyperlink" Target="https://www.england.nhs.uk/integratedcare/what-is-integrated-care/icbs/" TargetMode="External"/><Relationship Id="rIdkct6gdfqi_6vekik08gwz" Type="http://schemas.openxmlformats.org/officeDocument/2006/relationships/hyperlink" Target="https://www.england.nhs.uk/better-care-fund/" TargetMode="External"/><Relationship Id="rId8ttyrd9imjov08okfq3od" Type="http://schemas.openxmlformats.org/officeDocument/2006/relationships/hyperlink" Target="https://www.england.nhs.uk/learning-disabilities/" TargetMode="External"/><Relationship Id="rId-4fjndicmtdapa7cvcsal" Type="http://schemas.openxmlformats.org/officeDocument/2006/relationships/hyperlink" Target="https://www.familyfund.org.uk/" TargetMode="External"/><Relationship Id="rIdjcc_dxkbbyr1ef7wuprwc" Type="http://schemas.openxmlformats.org/officeDocument/2006/relationships/hyperlink" Target="https://www.motabilityfoundation.org.uk/" TargetMode="External"/><Relationship Id="rIdvmz_uw9jbu1cm9bqtqoxf" Type="http://schemas.openxmlformats.org/officeDocument/2006/relationships/hyperlink" Target="https://www.turing-scheme.org.uk/" TargetMode="External"/><Relationship Id="rIdy91ig8syokn3xvicbrpo_" Type="http://schemas.openxmlformats.org/officeDocument/2006/relationships/hyperlink" Target="https://www.kingstrust.org.uk/" TargetMode="External"/><Relationship Id="rId4pyy7hoaduolmij_19u4q" Type="http://schemas.openxmlformats.org/officeDocument/2006/relationships/hyperlink" Target="https://www.skillsforcare.org.uk/" TargetMode="External"/><Relationship Id="rId0zsus56nfjs7zqkfwball" Type="http://schemas.openxmlformats.org/officeDocument/2006/relationships/hyperlink" Target="https://www.acf.org.uk/" TargetMode="External"/><Relationship Id="rId81igb84p4hw7j-qqmobva" Type="http://schemas.openxmlformats.org/officeDocument/2006/relationships/hyperlink" Target="https://www.ukcommunityfoundations.org/" TargetMode="External"/><Relationship Id="rId5bdqxfhaabiuodjms-zl7" Type="http://schemas.openxmlformats.org/officeDocument/2006/relationships/hyperlink" Target="https://www.bbcchildreninneed.co.uk/grants/" TargetMode="External"/><Relationship Id="rId3ftfcra7qxtu_qgvfezki" Type="http://schemas.openxmlformats.org/officeDocument/2006/relationships/hyperlink" Target="https://www.comicrelief.com/funding/" TargetMode="External"/><Relationship Id="rId7pnrgp6dxtvgpuvqllajx" Type="http://schemas.openxmlformats.org/officeDocument/2006/relationships/hyperlink" Target="https://www.sportengland.org/funds-and-campaigns/funds" TargetMode="External"/><Relationship Id="rIdb85is_pxaame_el3yiq_k" Type="http://schemas.openxmlformats.org/officeDocument/2006/relationships/hyperlink" Target="https://www.postcodetrust.org.uk/" TargetMode="External"/><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6814a74992c44f748ee079e793fdaef065d5f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2026-04-22T18:04:57.981Z</dcterms:created>
  <dcterms:modified xsi:type="dcterms:W3CDTF">2026-04-22T18:04:57.981Z</dcterms:modified>
</cp:coreProperties>
</file>

<file path=docProps/custom.xml><?xml version="1.0" encoding="utf-8"?>
<Properties xmlns="http://schemas.openxmlformats.org/officeDocument/2006/custom-properties" xmlns:vt="http://schemas.openxmlformats.org/officeDocument/2006/docPropsVTypes"/>
</file>