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80"/>
      </w:pPr>
      <w:r>
        <w:t xml:space="preserve"/>
      </w:r>
    </w:p>
    <w:p>
      <w:pPr>
        <w:pStyle w:val="Heading1"/>
        <w:spacing w:after="200" w:before="0"/>
      </w:pPr>
      <w:r>
        <w:rPr>
          <w:rFonts w:ascii="Arial" w:cs="Arial" w:eastAsia="Arial" w:hAnsi="Arial"/>
          <w:b/>
          <w:bCs/>
          <w:color w:val="0F2E4C"/>
          <w:sz w:val="52"/>
          <w:szCs w:val="52"/>
        </w:rPr>
        <w:t xml:space="preserve">Funding a PAES Lab: Canada</w:t>
      </w:r>
    </w:p>
    <w:p>
      <w:pPr>
        <w:spacing w:after="240"/>
      </w:pPr>
      <w:r>
        <w:rPr>
          <w:rFonts w:ascii="Arial" w:cs="Arial" w:eastAsia="Arial" w:hAnsi="Arial"/>
          <w:color w:val="333333"/>
          <w:sz w:val="24"/>
          <w:szCs w:val="24"/>
        </w:rPr>
        <w:t xml:space="preserve">Federal, provincial, and territorial funding streams for schools, boards, and transition programmes across Canada.</w:t>
      </w:r>
    </w:p>
    <w:p>
      <w:pPr>
        <w:spacing w:after="80"/>
      </w:pPr>
      <w:r>
        <w:rPr>
          <w:rFonts w:ascii="Arial" w:cs="Arial" w:eastAsia="Arial" w:hAnsi="Arial"/>
          <w:color w:val="6B7280"/>
          <w:sz w:val="20"/>
          <w:szCs w:val="20"/>
        </w:rPr>
        <w:t xml:space="preserve">April 2026</w:t>
      </w:r>
    </w:p>
    <w:p>
      <w:r>
        <w:br w:type="page"/>
      </w:r>
    </w:p>
    <w:p>
      <w:pPr>
        <w:pStyle w:val="Heading2"/>
      </w:pPr>
      <w:r>
        <w:rPr>
          <w:rFonts w:ascii="Arial" w:cs="Arial" w:eastAsia="Arial" w:hAnsi="Arial"/>
          <w:b/>
          <w:bCs/>
          <w:color w:val="0F2E4C"/>
          <w:sz w:val="30"/>
          <w:szCs w:val="30"/>
        </w:rPr>
        <w:t xml:space="preserve">About this document</w:t>
      </w:r>
    </w:p>
    <w:p>
      <w:pPr>
        <w:spacing w:after="80" w:before="80"/>
      </w:pPr>
      <w:r>
        <w:t xml:space="preserve">This guide sets out the funding routes a school, district, college, or community provider can use to install and run a PAES Lab in Canada. It covers national programmes, regional allocations, and the philanthropic and community sources that often get missed.</w:t>
      </w:r>
    </w:p>
    <w:p>
      <w:pPr>
        <w:spacing w:after="80" w:before="80"/>
      </w:pPr>
      <w:r>
        <w:rPr>
          <w:rFonts w:ascii="Arial" w:cs="Arial" w:eastAsia="Arial" w:hAnsi="Arial"/>
          <w:b/>
          <w:bCs/>
          <w:color w:val="0F2E4C"/>
          <w:sz w:val="22"/>
          <w:szCs w:val="22"/>
        </w:rPr>
        <w:t xml:space="preserve">How to use it</w:t>
      </w:r>
    </w:p>
    <w:p>
      <w:pPr>
        <w:pStyle w:val="ListParagraph"/>
        <w:numPr>
          <w:ilvl w:val="0"/>
          <w:numId w:val="2"/>
        </w:numPr>
        <w:spacing w:after="40" w:before="40"/>
      </w:pPr>
      <w:r>
        <w:t xml:space="preserve">Jump to the section for your location using the table of contents below.</w:t>
      </w:r>
    </w:p>
    <w:p>
      <w:pPr>
        <w:pStyle w:val="ListParagraph"/>
        <w:numPr>
          <w:ilvl w:val="0"/>
          <w:numId w:val="2"/>
        </w:numPr>
        <w:spacing w:after="40" w:before="40"/>
      </w:pPr>
      <w:r>
        <w:t xml:space="preserve">Each entry names the agency, explains what the funding stream is, and shows why PAES qualifies as an eligible use.</w:t>
      </w:r>
    </w:p>
    <w:p>
      <w:pPr>
        <w:pStyle w:val="ListParagraph"/>
        <w:numPr>
          <w:ilvl w:val="0"/>
          <w:numId w:val="2"/>
        </w:numPr>
        <w:spacing w:after="40" w:before="40"/>
      </w:pPr>
      <w:r>
        <w:t xml:space="preserve">Stack sources. Most PAES Labs are paid for by combining two or three streams, not one.</w:t>
      </w:r>
    </w:p>
    <w:p>
      <w:pPr>
        <w:pStyle w:val="ListParagraph"/>
        <w:numPr>
          <w:ilvl w:val="0"/>
          <w:numId w:val="2"/>
        </w:numPr>
        <w:spacing w:after="40" w:before="40"/>
      </w:pPr>
      <w:r>
        <w:t xml:space="preserve">If a programme name has changed (they often do), the named agency will have the current equivalent.</w:t>
      </w:r>
    </w:p>
    <w:p>
      <w:pPr>
        <w:spacing w:after="80" w:before="240"/>
      </w:pPr>
      <w: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single" w:color="0F2E4C" w:sz="4"/>
              <w:left w:val="single" w:color="D9A441" w:sz="24"/>
              <w:bottom w:val="single" w:color="0F2E4C" w:sz="4"/>
              <w:right w:val="single" w:color="0F2E4C" w:sz="4"/>
            </w:tcBorders>
            <w:shd w:fill="0F2E4C" w:color="auto" w:val="clear"/>
            <w:tcMar>
              <w:top w:type="dxa" w:w="240"/>
              <w:left w:type="dxa" w:w="320"/>
              <w:bottom w:type="dxa" w:w="240"/>
              <w:right w:type="dxa" w:w="320"/>
            </w:tcMar>
          </w:tcPr>
          <w:p>
            <w:pPr>
              <w:spacing w:after="80"/>
            </w:pPr>
            <w:r>
              <w:rPr>
                <w:rFonts w:ascii="Arial" w:cs="Arial" w:eastAsia="Arial" w:hAnsi="Arial"/>
                <w:b/>
                <w:bCs/>
                <w:caps/>
                <w:color w:val="D9A441"/>
                <w:sz w:val="18"/>
                <w:szCs w:val="18"/>
              </w:rPr>
              <w:t xml:space="preserve">WANT A CONVERSATION ABOUT HOW THIS COULD WORK FOR YOU?</w:t>
            </w:r>
          </w:p>
          <w:p>
            <w:pPr>
              <w:spacing w:after="80"/>
            </w:pPr>
            <w:r>
              <w:rPr>
                <w:rFonts w:ascii="Arial" w:cs="Arial" w:eastAsia="Arial" w:hAnsi="Arial"/>
                <w:color w:val="FFFFFF"/>
                <w:sz w:val="22"/>
                <w:szCs w:val="22"/>
              </w:rPr>
              <w:t xml:space="preserve">We help schools, districts, and colleges find the right funding mix, draft the justification, and connect you with a regional rep who knows your state or region.</w:t>
            </w:r>
          </w:p>
          <w:p>
            <w:pPr>
              <w:spacing w:after="40"/>
            </w:pPr>
            <w:r>
              <w:rPr>
                <w:rFonts w:ascii="Arial" w:cs="Arial" w:eastAsia="Arial" w:hAnsi="Arial"/>
                <w:b/>
                <w:bCs/>
                <w:color w:val="FFFFFF"/>
                <w:sz w:val="22"/>
                <w:szCs w:val="22"/>
              </w:rPr>
              <w:t xml:space="preserve">Rebekkah Swisher, President, PAES Productions</w:t>
            </w:r>
          </w:p>
          <w:p>
            <w:r>
              <w:rPr>
                <w:rFonts w:ascii="Arial" w:cs="Arial" w:eastAsia="Arial" w:hAnsi="Arial"/>
                <w:color w:val="FFFFFF"/>
                <w:sz w:val="22"/>
                <w:szCs w:val="22"/>
              </w:rPr>
              <w:t xml:space="preserve">805-286-7513  ·  info@paesauthor.com  ·  </w:t>
            </w:r>
            <w:hyperlink w:history="1" r:id="rIde7yjll2lykoqh4vp20i99">
              <w:r>
                <w:rPr>
                  <w:rFonts w:ascii="Arial" w:cs="Arial" w:eastAsia="Arial" w:hAnsi="Arial"/>
                  <w:color w:val="D9A441"/>
                  <w:sz w:val="22"/>
                  <w:szCs w:val="22"/>
                  <w:u w:val="single"/>
                </w:rPr>
                <w:t xml:space="preserve">paesproductions.com</w:t>
              </w:r>
            </w:hyperlink>
          </w:p>
        </w:tc>
      </w:tr>
    </w:tbl>
    <w:p>
      <w:pPr>
        <w:spacing w:after="80" w:before="120"/>
      </w:pPr>
      <w:r>
        <w:t xml:space="preserve"/>
      </w:r>
    </w:p>
    <w:p>
      <w:pPr>
        <w:pStyle w:val="Heading2"/>
      </w:pPr>
      <w:r>
        <w:rPr>
          <w:rFonts w:ascii="Arial" w:cs="Arial" w:eastAsia="Arial" w:hAnsi="Arial"/>
          <w:b/>
          <w:bCs/>
          <w:color w:val="0F2E4C"/>
          <w:sz w:val="30"/>
          <w:szCs w:val="30"/>
        </w:rPr>
        <w:t xml:space="preserve">Contents</w:t>
      </w:r>
    </w:p>
    <w:p>
      <w:pPr>
        <w:spacing w:after="120" w:before="80"/>
      </w:pPr>
      <w:r>
        <w:rPr>
          <w:rFonts w:ascii="Arial" w:cs="Arial" w:eastAsia="Arial" w:hAnsi="Arial"/>
          <w:i/>
          <w:iCs/>
          <w:color w:val="6B7280"/>
          <w:sz w:val="18"/>
          <w:szCs w:val="18"/>
        </w:rPr>
        <w:t xml:space="preserve">When you open this document in Word, the contents list below will update itself. If it shows "No table of contents entries found", right-click on the list and choose "Update Field" (or press F9).</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Canadian Funding Streams for PAES Labs</w:t>
      </w:r>
    </w:p>
    <w:p>
      <w:pPr>
        <w:pStyle w:val="Heading2"/>
      </w:pPr>
      <w:r>
        <w:t xml:space="preserve">How to use this document</w:t>
      </w:r>
    </w:p>
    <w:p>
      <w:pPr>
        <w:spacing w:after="80" w:before="80"/>
      </w:pPr>
      <w:r>
        <w:t xml:space="preserve">This is a reference for Canadian schools, school boards, transition programmes, rehabilitation services, and Indigenous organisations looking to fund a PAES Lab. A PAES Lab typically costs CAD $55,000 to $70,000 in equipment and setup, with ongoing consumable costs.</w:t>
      </w:r>
    </w:p>
    <w:p>
      <w:pPr>
        <w:spacing w:after="80" w:before="80"/>
      </w:pPr>
      <w:r>
        <w:t xml:space="preserve">No single Canadian funding stream is labelled "for PAES Labs." Your path to funding usually combines:</w:t>
      </w:r>
    </w:p>
    <w:p>
      <w:pPr>
        <w:pStyle w:val="ListParagraph"/>
        <w:numPr>
          <w:ilvl w:val="0"/>
          <w:numId w:val="3"/>
        </w:numPr>
        <w:spacing w:after="40" w:before="40"/>
      </w:pPr>
      <w:r>
        <w:rPr>
          <w:b/>
          <w:bCs/>
        </w:rPr>
        <w:t xml:space="preserve">Core school or provincial special education funding</w:t>
      </w:r>
      <w:r>
        <w:t xml:space="preserve"> for ongoing staffing and consumables.</w:t>
      </w:r>
    </w:p>
    <w:p>
      <w:pPr>
        <w:pStyle w:val="ListParagraph"/>
        <w:numPr>
          <w:ilvl w:val="0"/>
          <w:numId w:val="3"/>
        </w:numPr>
        <w:spacing w:after="40" w:before="40"/>
      </w:pPr>
      <w:r>
        <w:rPr>
          <w:b/>
          <w:bCs/>
        </w:rPr>
        <w:t xml:space="preserve">One-time capital, innovation, or transition grants</w:t>
      </w:r>
      <w:r>
        <w:t xml:space="preserve"> for the lab equipment purchase.</w:t>
      </w:r>
    </w:p>
    <w:p>
      <w:pPr>
        <w:pStyle w:val="ListParagraph"/>
        <w:numPr>
          <w:ilvl w:val="0"/>
          <w:numId w:val="3"/>
        </w:numPr>
        <w:spacing w:after="40" w:before="40"/>
      </w:pPr>
      <w:r>
        <w:rPr>
          <w:b/>
          <w:bCs/>
        </w:rPr>
        <w:t xml:space="preserve">Federal labour-market or disability-employment funding</w:t>
      </w:r>
      <w:r>
        <w:t xml:space="preserve"> channelled through provincial agencies or non-profit delivery partners, especially where the lab serves transition-age youth or adults.</w:t>
      </w:r>
    </w:p>
    <w:p>
      <w:pPr>
        <w:spacing w:after="80" w:before="80"/>
      </w:pPr>
      <w:r>
        <w:t xml:space="preserve">Education in Canada is provincial, so the rules, programme names, and contacts differ by jurisdiction. Federal money usually reaches schools indirectly, through bilateral agreements with the provinces. Where a specific programme cannot be verified as currently open, the entry says so and points to the ministry to contact.</w:t>
      </w:r>
    </w:p>
    <w:p>
      <w:pPr>
        <w:spacing w:after="80" w:before="80"/>
      </w:pPr>
      <w:r>
        <w:t xml:space="preserve">Always confirm eligibility before writing a proposal. Programme names and budgets shift year to year.</w:t>
      </w:r>
    </w:p>
    <w:p>
      <w:pPr>
        <w:pBdr>
          <w:bottom w:val="single" w:color="E5E7EB" w:sz="6" w:space="1"/>
        </w:pBdr>
        <w:spacing w:after="120" w:before="120"/>
      </w:pPr>
      <w:r>
        <w:t xml:space="preserve"/>
      </w:r>
    </w:p>
    <w:p>
      <w:pPr>
        <w:pStyle w:val="Heading2"/>
      </w:pPr>
      <w:r>
        <w:t xml:space="preserve">1. Federal funding streams</w:t>
      </w:r>
    </w:p>
    <w:p>
      <w:pPr>
        <w:pStyle w:val="Heading3"/>
      </w:pPr>
      <w:r>
        <w:t xml:space="preserve">Opportunities Fund for Persons with Disabilities (ESDC)</w:t>
      </w:r>
    </w:p>
    <w:p>
      <w:pPr>
        <w:spacing w:after="80" w:before="80"/>
      </w:pPr>
      <w:r>
        <w:t xml:space="preserve">The Opportunities Fund helps people with disabilities prepare for, find, and keep work. Employment and Social Development Canada (ESDC) runs it nationally and regionally, funding eligible organisations (not-for-profits, for-profits delivering non-commercial projects, Indigenous organisations, municipalities, provincial and territorial bodies, and educational institutions) to deliver projects that include wage subsidies, job placements, employer supports, pre-employment training, and assistive equipment. Funding has run at about $100 million a year through the current cycle.</w:t>
      </w:r>
    </w:p>
    <w:p>
      <w:pPr>
        <w:spacing w:after="80" w:before="80"/>
      </w:pPr>
      <w:r>
        <w:t xml:space="preserve">A PAES Lab fits well within the "pre-employment skills development" and "work experience" categories of the Fund when delivered by an eligible organisation working with transition-age or adult clients. Schools themselves are not direct applicants, but a school board can partner with a non-profit delivery agency that holds an Opportunities Fund contribution agreement.</w:t>
      </w:r>
    </w:p>
    <w:p>
      <w:pPr>
        <w:pStyle w:val="ListParagraph"/>
        <w:numPr>
          <w:ilvl w:val="0"/>
          <w:numId w:val="2"/>
        </w:numPr>
        <w:spacing w:after="40" w:before="40"/>
      </w:pPr>
      <w:hyperlink w:history="1" r:id="rIdv12orz7x__vhxbmcidnpj">
        <w:r>
          <w:rPr>
            <w:rStyle w:val="Hyperlink"/>
            <w:color w:val="1D8B8B"/>
            <w:u w:val="single"/>
          </w:rPr>
          <w:t xml:space="preserve">Opportunities Fund for Persons with Disabilities</w:t>
        </w:r>
      </w:hyperlink>
    </w:p>
    <w:p>
      <w:pPr>
        <w:pStyle w:val="ListParagraph"/>
        <w:numPr>
          <w:ilvl w:val="0"/>
          <w:numId w:val="2"/>
        </w:numPr>
        <w:spacing w:after="40" w:before="40"/>
      </w:pPr>
      <w:hyperlink w:history="1" r:id="rIdidh40tsdhn6-ce04ndb91">
        <w:r>
          <w:rPr>
            <w:rStyle w:val="Hyperlink"/>
            <w:color w:val="1D8B8B"/>
            <w:u w:val="single"/>
          </w:rPr>
          <w:t xml:space="preserve">National or Regional Component (how to apply)</w:t>
        </w:r>
      </w:hyperlink>
    </w:p>
    <w:p>
      <w:pPr>
        <w:pStyle w:val="Heading3"/>
      </w:pPr>
      <w:r>
        <w:t xml:space="preserve">Canada-Provincial/Territorial Labour Market Development Agreements (LMDAs)</w:t>
      </w:r>
    </w:p>
    <w:p>
      <w:pPr>
        <w:spacing w:after="80" w:before="80"/>
      </w:pPr>
      <w:r>
        <w:t xml:space="preserve">LMDAs are bilateral agreements under Part II of the Employment Insurance Act that transfer federal money to each province and territory to deliver Employment Benefits and Support Measures for EI-eligible clients. Provinces use LMDA funds for skills training, targeted wage subsidies, job-finding clubs, and self-employment supports. A PAES Lab that serves adult learners returning to work may be fundable through provincial LMDA-funded training contracts with approved service providers.</w:t>
      </w:r>
    </w:p>
    <w:p>
      <w:pPr>
        <w:pStyle w:val="ListParagraph"/>
        <w:numPr>
          <w:ilvl w:val="0"/>
          <w:numId w:val="2"/>
        </w:numPr>
        <w:spacing w:after="40" w:before="40"/>
      </w:pPr>
      <w:hyperlink w:history="1" r:id="rIdk-6-cgktdzh-nl19ukpk9">
        <w:r>
          <w:rPr>
            <w:rStyle w:val="Hyperlink"/>
            <w:color w:val="1D8B8B"/>
            <w:u w:val="single"/>
          </w:rPr>
          <w:t xml:space="preserve">Labour Market Transfers overview</w:t>
        </w:r>
      </w:hyperlink>
    </w:p>
    <w:p>
      <w:pPr>
        <w:pStyle w:val="Heading3"/>
      </w:pPr>
      <w:r>
        <w:t xml:space="preserve">Canada-Provincial/Territorial Workforce Development Agreements (WDAs)</w:t>
      </w:r>
    </w:p>
    <w:p>
      <w:pPr>
        <w:spacing w:after="80" w:before="80"/>
      </w:pPr>
      <w:r>
        <w:t xml:space="preserve">The WDAs consolidated the earlier Canada Job Fund Agreements, Labour Market Agreements for Persons with Disabilities, and the Targeted Initiative for Older Workers. Under current WDAs, Canada transfers roughly $722 million a year to provinces and territories, with additional top-ups in most years. Each WDA carries a dedicated allocation for people with disabilities, which Ontario (and several other provinces) cost-matches.</w:t>
      </w:r>
    </w:p>
    <w:p>
      <w:pPr>
        <w:spacing w:after="80" w:before="80"/>
      </w:pPr>
      <w:r>
        <w:t xml:space="preserve">WDAs are the most important federal vehicle to know about for PAES Labs serving youth transitioning out of school and adults with disabilities. The funds reach employers, training providers, and community agencies through provincial programmes, not through direct federal applications.</w:t>
      </w:r>
    </w:p>
    <w:p>
      <w:pPr>
        <w:pStyle w:val="ListParagraph"/>
        <w:numPr>
          <w:ilvl w:val="0"/>
          <w:numId w:val="2"/>
        </w:numPr>
        <w:spacing w:after="40" w:before="40"/>
      </w:pPr>
      <w:hyperlink w:history="1" r:id="rIdwgjwwbnclijbqcfojaqnp">
        <w:r>
          <w:rPr>
            <w:rStyle w:val="Hyperlink"/>
            <w:color w:val="1D8B8B"/>
            <w:u w:val="single"/>
          </w:rPr>
          <w:t xml:space="preserve">Workforce Development Agreements</w:t>
        </w:r>
      </w:hyperlink>
    </w:p>
    <w:p>
      <w:pPr>
        <w:pStyle w:val="Heading3"/>
      </w:pPr>
      <w:r>
        <w:t xml:space="preserve">Skills for Success Program</w:t>
      </w:r>
    </w:p>
    <w:p>
      <w:pPr>
        <w:spacing w:after="80" w:before="80"/>
      </w:pPr>
      <w:r>
        <w:t xml:space="preserve">Skills for Success replaced the older Essential Skills framework. It funds projects that build foundational and transferable skills (reading, writing, numeracy, digital, problem solving, adaptability, collaboration, communication, creativity) and supports assessment tools and training resources. Delivery is through a Training and Tools Stream and a Research and Innovation Stream.</w:t>
      </w:r>
    </w:p>
    <w:p>
      <w:pPr>
        <w:spacing w:after="80" w:before="80"/>
      </w:pPr>
      <w:r>
        <w:t xml:space="preserve">For a PAES Lab pitch, Skills for Success is the strongest federal fit for assessment-tool funding. The programme explicitly funds the development and delivery of assessment tools for underrepresented groups, which includes people with disabilities. Eligible applicants include not-for-profits, for-profits (non-commercial), Indigenous organisations, unions, municipal governments, and provincial/territorial entities.</w:t>
      </w:r>
    </w:p>
    <w:p>
      <w:pPr>
        <w:pStyle w:val="ListParagraph"/>
        <w:numPr>
          <w:ilvl w:val="0"/>
          <w:numId w:val="2"/>
        </w:numPr>
        <w:spacing w:after="40" w:before="40"/>
      </w:pPr>
      <w:hyperlink w:history="1" r:id="rIdlxlzjpygzihdusqzp95mt">
        <w:r>
          <w:rPr>
            <w:rStyle w:val="Hyperlink"/>
            <w:color w:val="1D8B8B"/>
            <w:u w:val="single"/>
          </w:rPr>
          <w:t xml:space="preserve">Skills for Success</w:t>
        </w:r>
      </w:hyperlink>
    </w:p>
    <w:p>
      <w:pPr>
        <w:pStyle w:val="ListParagraph"/>
        <w:numPr>
          <w:ilvl w:val="0"/>
          <w:numId w:val="2"/>
        </w:numPr>
        <w:spacing w:after="40" w:before="40"/>
      </w:pPr>
      <w:r>
        <w:t xml:space="preserve">Service Canada contact: EDSC.CPR-SFS.ESDC@servicecanada.gc.ca</w:t>
      </w:r>
    </w:p>
    <w:p>
      <w:pPr>
        <w:pStyle w:val="Heading3"/>
      </w:pPr>
      <w:r>
        <w:t xml:space="preserve">Indigenous Skills and Employment Training (ISET) Program</w:t>
      </w:r>
    </w:p>
    <w:p>
      <w:pPr>
        <w:spacing w:after="80" w:before="80"/>
      </w:pPr>
      <w:r>
        <w:t xml:space="preserve">ISET provides funding to Indigenous service delivery organisations that design and deliver job training for First Nations, Inuit, Métis, and urban/non-affiliated Indigenous people. ISET-funded organisations can pay for tuition, equipment, safety tickets, PPE, tools, childcare, travel, and living expenses during training, and can contract with training providers.</w:t>
      </w:r>
    </w:p>
    <w:p>
      <w:pPr>
        <w:spacing w:after="80" w:before="80"/>
      </w:pPr>
      <w:r>
        <w:t xml:space="preserve">For PAES Labs sited in Indigenous education or training organisations, or serving Indigenous students through partnerships, ISET is the primary federal pathway. ISET agreement holders have substantial flexibility in how they use their funds.</w:t>
      </w:r>
    </w:p>
    <w:p>
      <w:pPr>
        <w:pStyle w:val="ListParagraph"/>
        <w:numPr>
          <w:ilvl w:val="0"/>
          <w:numId w:val="2"/>
        </w:numPr>
        <w:spacing w:after="40" w:before="40"/>
      </w:pPr>
      <w:hyperlink w:history="1" r:id="rId8nq3wlul5k2bxsevezm2a">
        <w:r>
          <w:rPr>
            <w:rStyle w:val="Hyperlink"/>
            <w:color w:val="1D8B8B"/>
            <w:u w:val="single"/>
          </w:rPr>
          <w:t xml:space="preserve">ISET Program</w:t>
        </w:r>
      </w:hyperlink>
    </w:p>
    <w:p>
      <w:pPr>
        <w:pStyle w:val="ListParagraph"/>
        <w:numPr>
          <w:ilvl w:val="0"/>
          <w:numId w:val="2"/>
        </w:numPr>
        <w:spacing w:after="40" w:before="40"/>
      </w:pPr>
      <w:hyperlink w:history="1" r:id="rId9gqdvpnuawb8ay9mpspi1">
        <w:r>
          <w:rPr>
            <w:rStyle w:val="Hyperlink"/>
            <w:color w:val="1D8B8B"/>
            <w:u w:val="single"/>
          </w:rPr>
          <w:t xml:space="preserve">Find an ISET service delivery organisation</w:t>
        </w:r>
      </w:hyperlink>
    </w:p>
    <w:p>
      <w:pPr>
        <w:pStyle w:val="Heading3"/>
      </w:pPr>
      <w:r>
        <w:t xml:space="preserve">Enabling Accessibility Fund (ESDC)</w:t>
      </w:r>
    </w:p>
    <w:p>
      <w:pPr>
        <w:spacing w:after="80" w:before="80"/>
      </w:pPr>
      <w:r>
        <w:t xml:space="preserve">The Enabling Accessibility Fund (EAF) supports capital projects that improve accessibility in workplaces and community spaces. Small Projects and Mid-sized Projects streams open in call-for-proposals cycles, and the Workplace stream supports employers directly. EAF is capital-oriented, which is relevant for PAES Lab fit-outs where accessibility modifications are part of the build.</w:t>
      </w:r>
    </w:p>
    <w:p>
      <w:pPr>
        <w:pStyle w:val="ListParagraph"/>
        <w:numPr>
          <w:ilvl w:val="0"/>
          <w:numId w:val="2"/>
        </w:numPr>
        <w:spacing w:after="40" w:before="40"/>
      </w:pPr>
      <w:hyperlink w:history="1" r:id="rIdlciaqvnmnuntim7kn-0em">
        <w:r>
          <w:rPr>
            <w:rStyle w:val="Hyperlink"/>
            <w:color w:val="1D8B8B"/>
            <w:u w:val="single"/>
          </w:rPr>
          <w:t xml:space="preserve">Enabling Accessibility Fund</w:t>
        </w:r>
      </w:hyperlink>
    </w:p>
    <w:p>
      <w:pPr>
        <w:pStyle w:val="Heading3"/>
      </w:pPr>
      <w:r>
        <w:t xml:space="preserve">Federal funding master list</w:t>
      </w:r>
    </w:p>
    <w:p>
      <w:pPr>
        <w:spacing w:after="80" w:before="80"/>
      </w:pPr>
      <w:r>
        <w:t xml:space="preserve">The full index of ESDC funding programmes is the fastest way to find current application windows.</w:t>
      </w:r>
    </w:p>
    <w:p>
      <w:pPr>
        <w:pStyle w:val="ListParagraph"/>
        <w:numPr>
          <w:ilvl w:val="0"/>
          <w:numId w:val="2"/>
        </w:numPr>
        <w:spacing w:after="40" w:before="40"/>
      </w:pPr>
      <w:hyperlink w:history="1" r:id="rIdr7ef3g8twe87yr2xrqxgz">
        <w:r>
          <w:rPr>
            <w:rStyle w:val="Hyperlink"/>
            <w:color w:val="1D8B8B"/>
            <w:u w:val="single"/>
          </w:rPr>
          <w:t xml:space="preserve">Find funding programs (ESDC)</w:t>
        </w:r>
      </w:hyperlink>
    </w:p>
    <w:p>
      <w:pPr>
        <w:pBdr>
          <w:bottom w:val="single" w:color="E5E7EB" w:sz="6" w:space="1"/>
        </w:pBdr>
        <w:spacing w:after="120" w:before="120"/>
      </w:pPr>
      <w:r>
        <w:t xml:space="preserve"/>
      </w:r>
    </w:p>
    <w:p>
      <w:pPr>
        <w:pStyle w:val="Heading2"/>
      </w:pPr>
      <w:r>
        <w:t xml:space="preserve">2. Provincial and territorial breakdown</w:t>
      </w:r>
    </w:p>
    <w:p>
      <w:pPr>
        <w:pStyle w:val="Heading3"/>
      </w:pPr>
      <w:r>
        <w:t xml:space="preserve">Ontario</w:t>
      </w:r>
    </w:p>
    <w:p>
      <w:pPr>
        <w:spacing w:after="80" w:before="80"/>
      </w:pPr>
      <w:r>
        <w:rPr>
          <w:b/>
          <w:bCs/>
        </w:rPr>
        <w:t xml:space="preserve">Ministry:</w:t>
      </w:r>
      <w:r>
        <w:t xml:space="preserve"> </w:t>
      </w:r>
      <w:hyperlink w:history="1" r:id="rIdla_cc_o4k_shm58ppxssq">
        <w:r>
          <w:rPr>
            <w:rStyle w:val="Hyperlink"/>
            <w:color w:val="1D8B8B"/>
            <w:u w:val="single"/>
          </w:rPr>
          <w:t xml:space="preserve">Ontario Ministry of Education</w:t>
        </w:r>
      </w:hyperlink>
    </w:p>
    <w:p>
      <w:pPr>
        <w:spacing w:after="80" w:before="80"/>
      </w:pPr>
      <w:r>
        <w:rPr>
          <w:b/>
          <w:bCs/>
        </w:rPr>
        <w:t xml:space="preserve">Special education funding.</w:t>
      </w:r>
      <w:r>
        <w:t xml:space="preserve"> Ontario delivers special education money through the Special Education Fund, part of the Grants for Student Needs (GSN), now called Core Education Funding. The projected 2025 to 2026 Special Education Fund is approximately $3.85 billion. It has four allocations: Per-Pupil Allocation, Differentiated Needs Allocation, Professional Assessments, and Specialised Supports. Boards must spend the fund exclusively on special education, and unspent money is carried forward. The Specialised Equipment Allocation (SEA) within the Fund is particularly relevant for PAES Labs. SEA funds equipment that supports students with special education needs.</w:t>
      </w:r>
    </w:p>
    <w:p>
      <w:pPr>
        <w:pStyle w:val="ListParagraph"/>
        <w:numPr>
          <w:ilvl w:val="0"/>
          <w:numId w:val="2"/>
        </w:numPr>
        <w:spacing w:after="40" w:before="40"/>
      </w:pPr>
      <w:hyperlink w:history="1" r:id="rIdrisiu9gio20r6s_ykthw6">
        <w:r>
          <w:rPr>
            <w:rStyle w:val="Hyperlink"/>
            <w:color w:val="1D8B8B"/>
            <w:u w:val="single"/>
          </w:rPr>
          <w:t xml:space="preserve">Guide to the 2025 to 2026 Special Education Fund</w:t>
        </w:r>
      </w:hyperlink>
    </w:p>
    <w:p>
      <w:pPr>
        <w:spacing w:after="80" w:before="80"/>
      </w:pPr>
      <w:r>
        <w:rPr>
          <w:b/>
          <w:bCs/>
        </w:rPr>
        <w:t xml:space="preserve">Transition and workforce funding.</w:t>
      </w:r>
      <w:r>
        <w:t xml:space="preserve"> Employment Ontario is the province's umbrella system for employment and training services, funded jointly through the Canada-Ontario LMDA and WDA.</w:t>
      </w:r>
    </w:p>
    <w:p>
      <w:pPr>
        <w:spacing w:after="80" w:before="80"/>
      </w:pPr>
      <w:r>
        <w:rPr>
          <w:b/>
          <w:bCs/>
        </w:rPr>
        <w:t xml:space="preserve">Disability employment equivalent.</w:t>
      </w:r>
      <w:r>
        <w:t xml:space="preserve"> The Ontario Disability Support Program (ODSP) Employment Supports stream, run by the Ministry of Children, Community and Social Services, helps people with disabilities find and keep work. ODSP Employment Supports pays approved service providers for employment planning, job coaching, assistive devices, and training, including tools and equipment needed for a client's vocational plan.</w:t>
      </w:r>
    </w:p>
    <w:p>
      <w:pPr>
        <w:pStyle w:val="ListParagraph"/>
        <w:numPr>
          <w:ilvl w:val="0"/>
          <w:numId w:val="2"/>
        </w:numPr>
        <w:spacing w:after="40" w:before="40"/>
      </w:pPr>
      <w:hyperlink w:history="1" r:id="rIdwirs1tyjycrr-0yv-wzec">
        <w:r>
          <w:rPr>
            <w:rStyle w:val="Hyperlink"/>
            <w:color w:val="1D8B8B"/>
            <w:u w:val="single"/>
          </w:rPr>
          <w:t xml:space="preserve">ODSP Employment Supports</w:t>
        </w:r>
      </w:hyperlink>
    </w:p>
    <w:p>
      <w:pPr>
        <w:spacing w:after="80" w:before="80"/>
      </w:pPr>
      <w:r>
        <w:rPr>
          <w:b/>
          <w:bCs/>
        </w:rPr>
        <w:t xml:space="preserve">Grants that could fund a PAES Lab.</w:t>
      </w:r>
      <w:r>
        <w:t xml:space="preserve"> The SEA allocation within the Special Education Fund is the most direct route for equipment purchase. Boards may also use the Specialised Supports portion for complex needs programming. For transition and adult settings, ODSP Employment Supports provider contracts can fund equipment where it is part of an approved client employment plan.</w:t>
      </w:r>
    </w:p>
    <w:p>
      <w:pPr>
        <w:spacing w:after="80" w:before="80"/>
      </w:pPr>
      <w:r>
        <w:rPr>
          <w:b/>
          <w:bCs/>
        </w:rPr>
        <w:t xml:space="preserve">Policy direction.</w:t>
      </w:r>
      <w:r>
        <w:t xml:space="preserve"> Ontario's current direction is heavier oversight of school board spending and a stronger focus on specialised programmes for students with complex needs. Expect emphasis on accountability for Special Education Fund spending and on documented pathways to employment for transition-age students.</w:t>
      </w:r>
    </w:p>
    <w:p>
      <w:pPr>
        <w:pBdr>
          <w:bottom w:val="single" w:color="E5E7EB" w:sz="6" w:space="1"/>
        </w:pBdr>
        <w:spacing w:after="120" w:before="120"/>
      </w:pPr>
      <w:r>
        <w:t xml:space="preserve"/>
      </w:r>
    </w:p>
    <w:p>
      <w:pPr>
        <w:pStyle w:val="Heading3"/>
      </w:pPr>
      <w:r>
        <w:t xml:space="preserve">Quebec</w:t>
      </w:r>
    </w:p>
    <w:p>
      <w:pPr>
        <w:spacing w:after="80" w:before="80"/>
      </w:pPr>
      <w:r>
        <w:rPr>
          <w:b/>
          <w:bCs/>
        </w:rPr>
        <w:t xml:space="preserve">Ministry:</w:t>
      </w:r>
      <w:r>
        <w:t xml:space="preserve"> </w:t>
      </w:r>
      <w:hyperlink w:history="1" r:id="rIdt9zcmf35re2bn9aggvdgv">
        <w:r>
          <w:rPr>
            <w:rStyle w:val="Hyperlink"/>
            <w:color w:val="1D8B8B"/>
            <w:u w:val="single"/>
          </w:rPr>
          <w:t xml:space="preserve">Ministère de l'Éducation</w:t>
        </w:r>
      </w:hyperlink>
    </w:p>
    <w:p>
      <w:pPr>
        <w:spacing w:after="80" w:before="80"/>
      </w:pPr>
      <w:r>
        <w:rPr>
          <w:b/>
          <w:bCs/>
        </w:rPr>
        <w:t xml:space="preserve">Special education funding.</w:t>
      </w:r>
      <w:r>
        <w:t xml:space="preserve"> Quebec funds students with handicaps and students with social maladjustments or learning difficulties (élèves HDAA) through the school service centres and the Ministère de l'Éducation's budgetary rules. An individualised education plan (plan d'intervention) sets out each student's supports. The province runs a parallel vocational training stream (formation professionnelle) and adapted vocational integration training programmes that place students in workplace internships.</w:t>
      </w:r>
    </w:p>
    <w:p>
      <w:pPr>
        <w:pStyle w:val="ListParagraph"/>
        <w:numPr>
          <w:ilvl w:val="0"/>
          <w:numId w:val="2"/>
        </w:numPr>
        <w:spacing w:after="40" w:before="40"/>
      </w:pPr>
      <w:hyperlink w:history="1" r:id="rIdlbd8s6u2yzwszmiccyhv4">
        <w:r>
          <w:rPr>
            <w:rStyle w:val="Hyperlink"/>
            <w:color w:val="1D8B8B"/>
            <w:u w:val="single"/>
          </w:rPr>
          <w:t xml:space="preserve">Students with handicaps, disabilities, social maladjustments or learning difficulties</w:t>
        </w:r>
      </w:hyperlink>
    </w:p>
    <w:p>
      <w:pPr>
        <w:spacing w:after="80" w:before="80"/>
      </w:pPr>
      <w:r>
        <w:rPr>
          <w:b/>
          <w:bCs/>
        </w:rPr>
        <w:t xml:space="preserve">Transition and workforce funding.</w:t>
      </w:r>
      <w:r>
        <w:t xml:space="preserve"> Quebec opted out of some federal labour-market transfers and runs its own parallel system through Services Québec and Emploi-Québec. The Programme de subventions aux entreprises adaptées (PSEA) supports adapted enterprises employing people with significant limitations. The Contrat d'intégration au travail (CIT) subsidises employers who hire people with disabilities.</w:t>
      </w:r>
    </w:p>
    <w:p>
      <w:pPr>
        <w:spacing w:after="80" w:before="80"/>
      </w:pPr>
      <w:r>
        <w:rPr>
          <w:b/>
          <w:bCs/>
        </w:rPr>
        <w:t xml:space="preserve">Disability employment equivalent.</w:t>
      </w:r>
      <w:r>
        <w:t xml:space="preserve"> Specialised employment organisations (organismes spécialisés en employabilité des personnes handicapées, SEMO) operate across Quebec and hold service agreements to deliver integration and maintenance-of-employment services.</w:t>
      </w:r>
    </w:p>
    <w:p>
      <w:pPr>
        <w:spacing w:after="80" w:before="80"/>
      </w:pPr>
      <w:r>
        <w:rPr>
          <w:b/>
          <w:bCs/>
        </w:rPr>
        <w:t xml:space="preserve">Grants that could fund a PAES Lab.</w:t>
      </w:r>
      <w:r>
        <w:t xml:space="preserve"> Contact the Ministère de l'Éducation for current special education capital allocations. For non-school settings, apply through a SEMO for CIT-linked adaptation funding or through the Office des personnes handicapées du Québec (OPHQ) for one-off project funding.</w:t>
      </w:r>
    </w:p>
    <w:p>
      <w:pPr>
        <w:pStyle w:val="ListParagraph"/>
        <w:numPr>
          <w:ilvl w:val="0"/>
          <w:numId w:val="2"/>
        </w:numPr>
        <w:spacing w:after="40" w:before="40"/>
      </w:pPr>
      <w:hyperlink w:history="1" r:id="rIdbjsrtzntlykywqijvpfp3">
        <w:r>
          <w:rPr>
            <w:rStyle w:val="Hyperlink"/>
            <w:color w:val="1D8B8B"/>
            <w:u w:val="single"/>
          </w:rPr>
          <w:t xml:space="preserve">Office des personnes handicapées du Québec</w:t>
        </w:r>
      </w:hyperlink>
    </w:p>
    <w:p>
      <w:pPr>
        <w:spacing w:after="80" w:before="80"/>
      </w:pPr>
      <w:r>
        <w:rPr>
          <w:b/>
          <w:bCs/>
        </w:rPr>
        <w:t xml:space="preserve">Policy direction.</w:t>
      </w:r>
      <w:r>
        <w:t xml:space="preserve"> Quebec's Plan d'action à l'égard des personnes handicapées 2025 to 2028 is the current cross-government frame. Expect Ministry of Education investment in supports for transition from secondary to work, and expansion of semi-specialised trades programmes.</w:t>
      </w:r>
    </w:p>
    <w:p>
      <w:pPr>
        <w:pBdr>
          <w:bottom w:val="single" w:color="E5E7EB" w:sz="6" w:space="1"/>
        </w:pBdr>
        <w:spacing w:after="120" w:before="120"/>
      </w:pPr>
      <w:r>
        <w:t xml:space="preserve"/>
      </w:r>
    </w:p>
    <w:p>
      <w:pPr>
        <w:pStyle w:val="Heading3"/>
      </w:pPr>
      <w:r>
        <w:t xml:space="preserve">British Columbia</w:t>
      </w:r>
    </w:p>
    <w:p>
      <w:pPr>
        <w:spacing w:after="80" w:before="80"/>
      </w:pPr>
      <w:r>
        <w:rPr>
          <w:b/>
          <w:bCs/>
        </w:rPr>
        <w:t xml:space="preserve">Ministry:</w:t>
      </w:r>
      <w:r>
        <w:t xml:space="preserve"> </w:t>
      </w:r>
      <w:hyperlink w:history="1" r:id="rId6buxeipcu-rdit3gw0p7d">
        <w:r>
          <w:rPr>
            <w:rStyle w:val="Hyperlink"/>
            <w:color w:val="1D8B8B"/>
            <w:u w:val="single"/>
          </w:rPr>
          <w:t xml:space="preserve">Ministry of Education and Child Care</w:t>
        </w:r>
      </w:hyperlink>
    </w:p>
    <w:p>
      <w:pPr>
        <w:spacing w:after="80" w:before="80"/>
      </w:pPr>
      <w:r>
        <w:rPr>
          <w:b/>
          <w:bCs/>
        </w:rPr>
        <w:t xml:space="preserve">Special education funding.</w:t>
      </w:r>
      <w:r>
        <w:t xml:space="preserve"> BC funds students with disabilities or diverse abilities through Inclusive Education supplemental funding on top of the Basic Allocation. Categories include physically dependent, deafblind, moderate to profound intellectual disability, physical disability or chronic health impairment, visual impairment, deaf or hard of hearing, Autism Spectrum Disorder, and intensive behaviour interventions or serious mental illness.</w:t>
      </w:r>
    </w:p>
    <w:p>
      <w:pPr>
        <w:pStyle w:val="ListParagraph"/>
        <w:numPr>
          <w:ilvl w:val="0"/>
          <w:numId w:val="2"/>
        </w:numPr>
        <w:spacing w:after="40" w:before="40"/>
      </w:pPr>
      <w:hyperlink w:history="1" r:id="rIdkroyebccgbntd6njopt-c">
        <w:r>
          <w:rPr>
            <w:rStyle w:val="Hyperlink"/>
            <w:color w:val="1D8B8B"/>
            <w:u w:val="single"/>
          </w:rPr>
          <w:t xml:space="preserve">K-12 Funding: Inclusive Education</w:t>
        </w:r>
      </w:hyperlink>
    </w:p>
    <w:p>
      <w:pPr>
        <w:spacing w:after="80" w:before="80"/>
      </w:pPr>
      <w:r>
        <w:rPr>
          <w:b/>
          <w:bCs/>
        </w:rPr>
        <w:t xml:space="preserve">Transition and workforce funding.</w:t>
      </w:r>
      <w:r>
        <w:t xml:space="preserve"> WorkBC Employment Services, funded through the Canada-BC LMDA and WDA, is the main employment services system with more than 100 centres province-wide. WorkBC runs specialised streams for people with disabilities.</w:t>
      </w:r>
    </w:p>
    <w:p>
      <w:pPr>
        <w:pStyle w:val="ListParagraph"/>
        <w:numPr>
          <w:ilvl w:val="0"/>
          <w:numId w:val="2"/>
        </w:numPr>
        <w:spacing w:after="40" w:before="40"/>
      </w:pPr>
      <w:hyperlink w:history="1" r:id="rIdg-5bwrv4ljejzvjss0xcf">
        <w:r>
          <w:rPr>
            <w:rStyle w:val="Hyperlink"/>
            <w:color w:val="1D8B8B"/>
            <w:u w:val="single"/>
          </w:rPr>
          <w:t xml:space="preserve">WorkBC</w:t>
        </w:r>
      </w:hyperlink>
    </w:p>
    <w:p>
      <w:pPr>
        <w:spacing w:after="80" w:before="80"/>
      </w:pPr>
      <w:r>
        <w:rPr>
          <w:b/>
          <w:bCs/>
        </w:rPr>
        <w:t xml:space="preserve">Disability employment equivalent.</w:t>
      </w:r>
      <w:r>
        <w:t xml:space="preserve"> Community Living BC (CLBC) funds employment supports for adults with developmental disabilities. CLBC service providers offer discovery, job development, and on-the-job coaching.</w:t>
      </w:r>
    </w:p>
    <w:p>
      <w:pPr>
        <w:pStyle w:val="ListParagraph"/>
        <w:numPr>
          <w:ilvl w:val="0"/>
          <w:numId w:val="2"/>
        </w:numPr>
        <w:spacing w:after="40" w:before="40"/>
      </w:pPr>
      <w:hyperlink w:history="1" r:id="rIdprzwk5fj6di-ba0ex8sum">
        <w:r>
          <w:rPr>
            <w:rStyle w:val="Hyperlink"/>
            <w:color w:val="1D8B8B"/>
            <w:u w:val="single"/>
          </w:rPr>
          <w:t xml:space="preserve">CLBC Employment Support</w:t>
        </w:r>
      </w:hyperlink>
    </w:p>
    <w:p>
      <w:pPr>
        <w:spacing w:after="80" w:before="80"/>
      </w:pPr>
      <w:r>
        <w:rPr>
          <w:b/>
          <w:bCs/>
        </w:rPr>
        <w:t xml:space="preserve">Grants that could fund a PAES Lab.</w:t>
      </w:r>
      <w:r>
        <w:t xml:space="preserve"> Inclusive Education supplemental funding can support equipment through the district's inclusive education budget. For adult sites, a CLBC service provider contract is the main route.</w:t>
      </w:r>
    </w:p>
    <w:p>
      <w:pPr>
        <w:spacing w:after="80" w:before="80"/>
      </w:pPr>
      <w:r>
        <w:rPr>
          <w:b/>
          <w:bCs/>
        </w:rPr>
        <w:t xml:space="preserve">Policy direction.</w:t>
      </w:r>
      <w:r>
        <w:t xml:space="preserve"> BC is expanding disability benefits, with a $475 million three-year investment announced to build out benefits and community supports.</w:t>
      </w:r>
    </w:p>
    <w:p>
      <w:pPr>
        <w:pBdr>
          <w:bottom w:val="single" w:color="E5E7EB" w:sz="6" w:space="1"/>
        </w:pBdr>
        <w:spacing w:after="120" w:before="120"/>
      </w:pPr>
      <w:r>
        <w:t xml:space="preserve"/>
      </w:r>
    </w:p>
    <w:p>
      <w:pPr>
        <w:pStyle w:val="Heading3"/>
      </w:pPr>
      <w:r>
        <w:t xml:space="preserve">Alberta</w:t>
      </w:r>
    </w:p>
    <w:p>
      <w:pPr>
        <w:spacing w:after="80" w:before="80"/>
      </w:pPr>
      <w:r>
        <w:rPr>
          <w:b/>
          <w:bCs/>
        </w:rPr>
        <w:t xml:space="preserve">Ministry:</w:t>
      </w:r>
      <w:r>
        <w:t xml:space="preserve"> </w:t>
      </w:r>
      <w:hyperlink w:history="1" r:id="rIdkphugyflxjf1flijygmxc">
        <w:r>
          <w:rPr>
            <w:rStyle w:val="Hyperlink"/>
            <w:color w:val="1D8B8B"/>
            <w:u w:val="single"/>
          </w:rPr>
          <w:t xml:space="preserve">Alberta Education</w:t>
        </w:r>
      </w:hyperlink>
    </w:p>
    <w:p>
      <w:pPr>
        <w:spacing w:after="80" w:before="80"/>
      </w:pPr>
      <w:r>
        <w:rPr>
          <w:b/>
          <w:bCs/>
        </w:rPr>
        <w:t xml:space="preserve">Special education funding.</w:t>
      </w:r>
      <w:r>
        <w:t xml:space="preserve"> Alberta funds students with severe disabilities through the Specialised Learning Supports (SLS) grant and the severe disabilities coding system. School authorities identify students through the Special Education Coding Criteria process. Alberta also funds Program Unit Funding (PUF) for eligible children with severe delays from age 2 years and 8 months to Grade 1.</w:t>
      </w:r>
    </w:p>
    <w:p>
      <w:pPr>
        <w:spacing w:after="80" w:before="80"/>
      </w:pPr>
      <w:r>
        <w:rPr>
          <w:b/>
          <w:bCs/>
        </w:rPr>
        <w:t xml:space="preserve">Transition and workforce funding.</w:t>
      </w:r>
      <w:r>
        <w:t xml:space="preserve"> Alberta delivers LMDA and WDA funds through Alberta Jobs, Economy and Trade programming. Career and Technology Studies (CTS) and Career and Technology Foundations (CTF) give schools a curricular home for PAES-style activity at the secondary level.</w:t>
      </w:r>
    </w:p>
    <w:p>
      <w:pPr>
        <w:pStyle w:val="ListParagraph"/>
        <w:numPr>
          <w:ilvl w:val="0"/>
          <w:numId w:val="2"/>
        </w:numPr>
        <w:spacing w:after="40" w:before="40"/>
      </w:pPr>
      <w:hyperlink w:history="1" r:id="rIdku89e9stjtl45saay4ybl">
        <w:r>
          <w:rPr>
            <w:rStyle w:val="Hyperlink"/>
            <w:color w:val="1D8B8B"/>
            <w:u w:val="single"/>
          </w:rPr>
          <w:t xml:space="preserve">Career and Technology Studies</w:t>
        </w:r>
      </w:hyperlink>
    </w:p>
    <w:p>
      <w:pPr>
        <w:pStyle w:val="ListParagraph"/>
        <w:numPr>
          <w:ilvl w:val="0"/>
          <w:numId w:val="2"/>
        </w:numPr>
        <w:spacing w:after="40" w:before="40"/>
      </w:pPr>
      <w:hyperlink w:history="1" r:id="rId4cknyyybfgw6des1ezhrm">
        <w:r>
          <w:rPr>
            <w:rStyle w:val="Hyperlink"/>
            <w:color w:val="1D8B8B"/>
            <w:u w:val="single"/>
          </w:rPr>
          <w:t xml:space="preserve">Dual Credit Enhancement Funding</w:t>
        </w:r>
      </w:hyperlink>
      <w:r>
        <w:t xml:space="preserve">: funds equipment and facility upgrades for CTS dual-credit.</w:t>
      </w:r>
    </w:p>
    <w:p>
      <w:pPr>
        <w:spacing w:after="80" w:before="80"/>
      </w:pPr>
      <w:r>
        <w:rPr>
          <w:b/>
          <w:bCs/>
        </w:rPr>
        <w:t xml:space="preserve">Disability employment equivalent.</w:t>
      </w:r>
      <w:r>
        <w:t xml:space="preserve"> Persons with Developmental Disabilities (PDD) funds adults with developmental disabilities (onset before 18). PDD's Employment Supports stream pays for training, discovery, placement, and ongoing coaching. Alberta Disability Assistance Program (ADAP) is rolling out as a new income and employment support.</w:t>
      </w:r>
    </w:p>
    <w:p>
      <w:pPr>
        <w:pStyle w:val="ListParagraph"/>
        <w:numPr>
          <w:ilvl w:val="0"/>
          <w:numId w:val="2"/>
        </w:numPr>
        <w:spacing w:after="40" w:before="40"/>
      </w:pPr>
      <w:hyperlink w:history="1" r:id="rIdmqeqg-5xfccpcc3iagkdq">
        <w:r>
          <w:rPr>
            <w:rStyle w:val="Hyperlink"/>
            <w:color w:val="1D8B8B"/>
            <w:u w:val="single"/>
          </w:rPr>
          <w:t xml:space="preserve">PDD Program</w:t>
        </w:r>
      </w:hyperlink>
    </w:p>
    <w:p>
      <w:pPr>
        <w:spacing w:after="80" w:before="80"/>
      </w:pPr>
      <w:r>
        <w:rPr>
          <w:b/>
          <w:bCs/>
        </w:rPr>
        <w:t xml:space="preserve">Grants that could fund a PAES Lab.</w:t>
      </w:r>
      <w:r>
        <w:t xml:space="preserve"> For secondary school sites, Dual Credit Enhancement Funding explicitly supports equipment and facility upgrades tied to CTS pathways. For adult sites, a PDD service provider contract is the main vehicle.</w:t>
      </w:r>
    </w:p>
    <w:p>
      <w:pPr>
        <w:spacing w:after="80" w:before="80"/>
      </w:pPr>
      <w:r>
        <w:rPr>
          <w:b/>
          <w:bCs/>
        </w:rPr>
        <w:t xml:space="preserve">Policy direction.</w:t>
      </w:r>
      <w:r>
        <w:t xml:space="preserve"> Alberta is rolling out ADAP alongside AISH, and continues to expand dual-credit and CTS pathways.</w:t>
      </w:r>
    </w:p>
    <w:p>
      <w:pPr>
        <w:pBdr>
          <w:bottom w:val="single" w:color="E5E7EB" w:sz="6" w:space="1"/>
        </w:pBdr>
        <w:spacing w:after="120" w:before="120"/>
      </w:pPr>
      <w:r>
        <w:t xml:space="preserve"/>
      </w:r>
    </w:p>
    <w:p>
      <w:pPr>
        <w:pStyle w:val="Heading3"/>
      </w:pPr>
      <w:r>
        <w:t xml:space="preserve">Manitoba</w:t>
      </w:r>
    </w:p>
    <w:p>
      <w:pPr>
        <w:spacing w:after="80" w:before="80"/>
      </w:pPr>
      <w:r>
        <w:rPr>
          <w:b/>
          <w:bCs/>
        </w:rPr>
        <w:t xml:space="preserve">Ministry:</w:t>
      </w:r>
      <w:r>
        <w:t xml:space="preserve"> </w:t>
      </w:r>
      <w:hyperlink w:history="1" r:id="rId72ti2kx5fp_46wyxydj34">
        <w:r>
          <w:rPr>
            <w:rStyle w:val="Hyperlink"/>
            <w:color w:val="1D8B8B"/>
            <w:u w:val="single"/>
          </w:rPr>
          <w:t xml:space="preserve">Manitoba Education and Early Childhood Learning</w:t>
        </w:r>
      </w:hyperlink>
    </w:p>
    <w:p>
      <w:pPr>
        <w:spacing w:after="80" w:before="80"/>
      </w:pPr>
      <w:r>
        <w:rPr>
          <w:b/>
          <w:bCs/>
        </w:rPr>
        <w:t xml:space="preserve">Special education funding.</w:t>
      </w:r>
      <w:r>
        <w:t xml:space="preserve"> Manitoba uses Special Needs Categorical Funding at Level 2 and Level 3. Level 2 supports students needing significant support for a major portion of the day. Level 3 supports students with profound multiple disabilities.</w:t>
      </w:r>
    </w:p>
    <w:p>
      <w:pPr>
        <w:pStyle w:val="ListParagraph"/>
        <w:numPr>
          <w:ilvl w:val="0"/>
          <w:numId w:val="2"/>
        </w:numPr>
        <w:spacing w:after="40" w:before="40"/>
      </w:pPr>
      <w:hyperlink w:history="1" r:id="rId7eqkdondyzulgizhvk2ca">
        <w:r>
          <w:rPr>
            <w:rStyle w:val="Hyperlink"/>
            <w:color w:val="1D8B8B"/>
            <w:u w:val="single"/>
          </w:rPr>
          <w:t xml:space="preserve">Special Needs Funding Process</w:t>
        </w:r>
      </w:hyperlink>
    </w:p>
    <w:p>
      <w:pPr>
        <w:spacing w:after="80" w:before="80"/>
      </w:pPr>
      <w:r>
        <w:rPr>
          <w:b/>
          <w:bCs/>
        </w:rPr>
        <w:t xml:space="preserve">Transition and workforce funding.</w:t>
      </w:r>
      <w:r>
        <w:t xml:space="preserve"> Manitoba delivers LMDA and WDA funds through its employment and training programmes, with specific allocations to persons with disabilities.</w:t>
      </w:r>
    </w:p>
    <w:p>
      <w:pPr>
        <w:spacing w:after="80" w:before="80"/>
      </w:pPr>
      <w:r>
        <w:rPr>
          <w:b/>
          <w:bCs/>
        </w:rPr>
        <w:t xml:space="preserve">Disability employment equivalent.</w:t>
      </w:r>
      <w:r>
        <w:t xml:space="preserve"> Community Living disABILITY Services (CLDS), within Manitoba Families, funds adults with intellectual disabilities. CLDS contracts with service providers to deliver day services and employment supports.</w:t>
      </w:r>
    </w:p>
    <w:p>
      <w:pPr>
        <w:pStyle w:val="ListParagraph"/>
        <w:numPr>
          <w:ilvl w:val="0"/>
          <w:numId w:val="2"/>
        </w:numPr>
        <w:spacing w:after="40" w:before="40"/>
      </w:pPr>
      <w:hyperlink w:history="1" r:id="rIdam4v474lwzkibb_jo-qvo">
        <w:r>
          <w:rPr>
            <w:rStyle w:val="Hyperlink"/>
            <w:color w:val="1D8B8B"/>
            <w:u w:val="single"/>
          </w:rPr>
          <w:t xml:space="preserve">Community Living disABILITY Services</w:t>
        </w:r>
      </w:hyperlink>
    </w:p>
    <w:p>
      <w:pPr>
        <w:spacing w:after="80" w:before="80"/>
      </w:pPr>
      <w:r>
        <w:rPr>
          <w:b/>
          <w:bCs/>
        </w:rPr>
        <w:t xml:space="preserve">Grants that could fund a PAES Lab.</w:t>
      </w:r>
      <w:r>
        <w:t xml:space="preserve"> Level 2 and Level 3 categorical funding supports programming costs and can indirectly fund equipment through divisional special education budgets. For adult day and transition programmes, a CLDS service provider contract is the primary route.</w:t>
      </w:r>
    </w:p>
    <w:p>
      <w:pPr>
        <w:pBdr>
          <w:bottom w:val="single" w:color="E5E7EB" w:sz="6" w:space="1"/>
        </w:pBdr>
        <w:spacing w:after="120" w:before="120"/>
      </w:pPr>
      <w:r>
        <w:t xml:space="preserve"/>
      </w:r>
    </w:p>
    <w:p>
      <w:pPr>
        <w:pStyle w:val="Heading3"/>
      </w:pPr>
      <w:r>
        <w:t xml:space="preserve">Saskatchewan</w:t>
      </w:r>
    </w:p>
    <w:p>
      <w:pPr>
        <w:spacing w:after="80" w:before="80"/>
      </w:pPr>
      <w:r>
        <w:rPr>
          <w:b/>
          <w:bCs/>
        </w:rPr>
        <w:t xml:space="preserve">Ministry:</w:t>
      </w:r>
      <w:r>
        <w:t xml:space="preserve"> </w:t>
      </w:r>
      <w:hyperlink w:history="1" r:id="rIdc8pwvs95u0yn1eii-6ucz">
        <w:r>
          <w:rPr>
            <w:rStyle w:val="Hyperlink"/>
            <w:color w:val="1D8B8B"/>
            <w:u w:val="single"/>
          </w:rPr>
          <w:t xml:space="preserve">Saskatchewan Ministry of Education</w:t>
        </w:r>
      </w:hyperlink>
    </w:p>
    <w:p>
      <w:pPr>
        <w:spacing w:after="80" w:before="80"/>
      </w:pPr>
      <w:r>
        <w:rPr>
          <w:b/>
          <w:bCs/>
        </w:rPr>
        <w:t xml:space="preserve">Special education funding.</w:t>
      </w:r>
      <w:r>
        <w:t xml:space="preserve"> Saskatchewan uses a needs-based Supports for Learning approach, with funding flowing to school divisions through the provincial funding distribution model. For students with more complex needs, divisions use an Inclusion and Intervention Plan (IIP). The 2025 to 2026 budget added $54.4 million for non-teacher items including the rollout of 50 specialised support classrooms (part of 200 planned over four years).</w:t>
      </w:r>
    </w:p>
    <w:p>
      <w:pPr>
        <w:pStyle w:val="ListParagraph"/>
        <w:numPr>
          <w:ilvl w:val="0"/>
          <w:numId w:val="2"/>
        </w:numPr>
        <w:spacing w:after="40" w:before="40"/>
      </w:pPr>
      <w:hyperlink w:history="1" r:id="rIdedq_fwi329chlojjjsqqv">
        <w:r>
          <w:rPr>
            <w:rStyle w:val="Hyperlink"/>
            <w:color w:val="1D8B8B"/>
            <w:u w:val="single"/>
          </w:rPr>
          <w:t xml:space="preserve">Supporting Students with Additional Needs</w:t>
        </w:r>
      </w:hyperlink>
    </w:p>
    <w:p>
      <w:pPr>
        <w:spacing w:after="80" w:before="80"/>
      </w:pPr>
      <w:r>
        <w:rPr>
          <w:b/>
          <w:bCs/>
        </w:rPr>
        <w:t xml:space="preserve">Transition and workforce funding.</w:t>
      </w:r>
      <w:r>
        <w:t xml:space="preserve"> The Ministry of Immigration and Career Training delivers LMDA and WDA funds through programmes including the Provincial Training Allowance and employer-training grants.</w:t>
      </w:r>
    </w:p>
    <w:p>
      <w:pPr>
        <w:spacing w:after="80" w:before="80"/>
      </w:pPr>
      <w:r>
        <w:rPr>
          <w:b/>
          <w:bCs/>
        </w:rPr>
        <w:t xml:space="preserve">Disability employment equivalent.</w:t>
      </w:r>
      <w:r>
        <w:t xml:space="preserve"> Saskatchewan Assured Income for Disability (SAID) provides income support. Community-Based Organisations (CBOs) funded by the Ministry of Social Services provide day programmes and employment supports.</w:t>
      </w:r>
    </w:p>
    <w:p>
      <w:pPr>
        <w:spacing w:after="80" w:before="80"/>
      </w:pPr>
      <w:r>
        <w:rPr>
          <w:b/>
          <w:bCs/>
        </w:rPr>
        <w:t xml:space="preserve">Grants that could fund a PAES Lab.</w:t>
      </w:r>
      <w:r>
        <w:t xml:space="preserve"> Specialised support classrooms rolling out under the current budget may be relevant. Contact Ministry of Education for current special education capital and transition funding opportunities.</w:t>
      </w:r>
    </w:p>
    <w:p>
      <w:pPr>
        <w:pBdr>
          <w:bottom w:val="single" w:color="E5E7EB" w:sz="6" w:space="1"/>
        </w:pBdr>
        <w:spacing w:after="120" w:before="120"/>
      </w:pPr>
      <w:r>
        <w:t xml:space="preserve"/>
      </w:r>
    </w:p>
    <w:p>
      <w:pPr>
        <w:pStyle w:val="Heading3"/>
      </w:pPr>
      <w:r>
        <w:t xml:space="preserve">Nova Scotia</w:t>
      </w:r>
    </w:p>
    <w:p>
      <w:pPr>
        <w:spacing w:after="80" w:before="80"/>
      </w:pPr>
      <w:r>
        <w:rPr>
          <w:b/>
          <w:bCs/>
        </w:rPr>
        <w:t xml:space="preserve">Department:</w:t>
      </w:r>
      <w:r>
        <w:t xml:space="preserve"> </w:t>
      </w:r>
      <w:hyperlink w:history="1" r:id="rIdz-fyotw9ufwg96jv1kukt">
        <w:r>
          <w:rPr>
            <w:rStyle w:val="Hyperlink"/>
            <w:color w:val="1D8B8B"/>
            <w:u w:val="single"/>
          </w:rPr>
          <w:t xml:space="preserve">Department of Education and Early Childhood Development</w:t>
        </w:r>
      </w:hyperlink>
    </w:p>
    <w:p>
      <w:pPr>
        <w:spacing w:after="80" w:before="80"/>
      </w:pPr>
      <w:r>
        <w:rPr>
          <w:b/>
          <w:bCs/>
        </w:rPr>
        <w:t xml:space="preserve">Special education funding.</w:t>
      </w:r>
      <w:r>
        <w:t xml:space="preserve"> Nova Scotia's Inclusive Education Policy (2020) sets the framework. The province committed to an additional $75 million a year in inclusive education funding and has funded more than 1,000 additional positions, including counsellors, specialists, teacher assistants, autism and behaviour supports, school psychologists, African Nova Scotian regional facilitators, and Mi'kmaw Education Consultants.</w:t>
      </w:r>
    </w:p>
    <w:p>
      <w:pPr>
        <w:pStyle w:val="ListParagraph"/>
        <w:numPr>
          <w:ilvl w:val="0"/>
          <w:numId w:val="2"/>
        </w:numPr>
        <w:spacing w:after="40" w:before="40"/>
      </w:pPr>
      <w:hyperlink w:history="1" r:id="rIdylhzxov6xqfvwpshsaxxu">
        <w:r>
          <w:rPr>
            <w:rStyle w:val="Hyperlink"/>
            <w:color w:val="1D8B8B"/>
            <w:u w:val="single"/>
          </w:rPr>
          <w:t xml:space="preserve">Inclusive Education (EECD)</w:t>
        </w:r>
      </w:hyperlink>
    </w:p>
    <w:p>
      <w:pPr>
        <w:spacing w:after="80" w:before="80"/>
      </w:pPr>
      <w:r>
        <w:rPr>
          <w:b/>
          <w:bCs/>
        </w:rPr>
        <w:t xml:space="preserve">Transition and workforce funding.</w:t>
      </w:r>
      <w:r>
        <w:t xml:space="preserve"> LMDA and WDA funds flow through the Department of Labour, Skills and Immigration and through Nova Scotia Works centres run by contracted providers.</w:t>
      </w:r>
    </w:p>
    <w:p>
      <w:pPr>
        <w:spacing w:after="80" w:before="80"/>
      </w:pPr>
      <w:r>
        <w:rPr>
          <w:b/>
          <w:bCs/>
        </w:rPr>
        <w:t xml:space="preserve">Disability employment equivalent.</w:t>
      </w:r>
      <w:r>
        <w:t xml:space="preserve"> The Disability Support Program (DSP) within the Department of Opportunities and Social Development funds adults with intellectual disabilities, long-term mental illness, and physical disabilities.</w:t>
      </w:r>
    </w:p>
    <w:p>
      <w:pPr>
        <w:pStyle w:val="ListParagraph"/>
        <w:numPr>
          <w:ilvl w:val="0"/>
          <w:numId w:val="2"/>
        </w:numPr>
        <w:spacing w:after="40" w:before="40"/>
      </w:pPr>
      <w:hyperlink w:history="1" r:id="rIdon1k2q9ko30e8m00hobkl">
        <w:r>
          <w:rPr>
            <w:rStyle w:val="Hyperlink"/>
            <w:color w:val="1D8B8B"/>
            <w:u w:val="single"/>
          </w:rPr>
          <w:t xml:space="preserve">Disability Support Program</w:t>
        </w:r>
      </w:hyperlink>
    </w:p>
    <w:p>
      <w:pPr>
        <w:spacing w:after="80" w:before="80"/>
      </w:pPr>
      <w:r>
        <w:rPr>
          <w:b/>
          <w:bCs/>
        </w:rPr>
        <w:t xml:space="preserve">Grants that could fund a PAES Lab.</w:t>
      </w:r>
      <w:r>
        <w:t xml:space="preserve"> Contact the Department of Education and Early Childhood Development for inclusive education capital allocations tied to the ongoing $75 million annual investment. DSP service-provider contracts are the main vehicle for adult sites.</w:t>
      </w:r>
    </w:p>
    <w:p>
      <w:pPr>
        <w:pBdr>
          <w:bottom w:val="single" w:color="E5E7EB" w:sz="6" w:space="1"/>
        </w:pBdr>
        <w:spacing w:after="120" w:before="120"/>
      </w:pPr>
      <w:r>
        <w:t xml:space="preserve"/>
      </w:r>
    </w:p>
    <w:p>
      <w:pPr>
        <w:pStyle w:val="Heading3"/>
      </w:pPr>
      <w:r>
        <w:t xml:space="preserve">New Brunswick</w:t>
      </w:r>
    </w:p>
    <w:p>
      <w:pPr>
        <w:spacing w:after="80" w:before="80"/>
      </w:pPr>
      <w:r>
        <w:rPr>
          <w:b/>
          <w:bCs/>
        </w:rPr>
        <w:t xml:space="preserve">Department:</w:t>
      </w:r>
      <w:r>
        <w:t xml:space="preserve"> </w:t>
      </w:r>
      <w:hyperlink w:history="1" r:id="rIdhp-bgvh11pbakd7nugnbb">
        <w:r>
          <w:rPr>
            <w:rStyle w:val="Hyperlink"/>
            <w:color w:val="1D8B8B"/>
            <w:u w:val="single"/>
          </w:rPr>
          <w:t xml:space="preserve">Department of Education and Early Childhood Development</w:t>
        </w:r>
      </w:hyperlink>
    </w:p>
    <w:p>
      <w:pPr>
        <w:spacing w:after="80" w:before="80"/>
      </w:pPr>
      <w:r>
        <w:rPr>
          <w:b/>
          <w:bCs/>
        </w:rPr>
        <w:t xml:space="preserve">Special education funding.</w:t>
      </w:r>
      <w:r>
        <w:t xml:space="preserve"> Policy 322 on Inclusive Education (2013) is the governing policy. It requires instruction in a common learning environment, prohibits segregated self-contained programmes for K to 8, and requires sustained professional learning for staff.</w:t>
      </w:r>
    </w:p>
    <w:p>
      <w:pPr>
        <w:spacing w:after="80" w:before="80"/>
      </w:pPr>
      <w:r>
        <w:rPr>
          <w:b/>
          <w:bCs/>
        </w:rPr>
        <w:t xml:space="preserve">Transition and workforce funding.</w:t>
      </w:r>
      <w:r>
        <w:t xml:space="preserve"> LMDA and WDA funds reach individuals and training providers through the Department of Post-Secondary Education, Training and Labour.</w:t>
      </w:r>
    </w:p>
    <w:p>
      <w:pPr>
        <w:spacing w:after="80" w:before="80"/>
      </w:pPr>
      <w:r>
        <w:rPr>
          <w:b/>
          <w:bCs/>
        </w:rPr>
        <w:t xml:space="preserve">Disability employment equivalent.</w:t>
      </w:r>
      <w:r>
        <w:t xml:space="preserve"> The Department of Social Development runs the Disability Support Program for adults with long-term disabilities. Community-based agencies such as the NB Association for Community Living and Inclusion NB advocate and support employment pathways.</w:t>
      </w:r>
    </w:p>
    <w:p>
      <w:pPr>
        <w:spacing w:after="80" w:before="80"/>
      </w:pPr>
      <w:r>
        <w:rPr>
          <w:b/>
          <w:bCs/>
        </w:rPr>
        <w:t xml:space="preserve">Grants that could fund a PAES Lab.</w:t>
      </w:r>
      <w:r>
        <w:t xml:space="preserve"> Contact the Department of Education and Early Childhood Development for current inclusive education capital and transition funding opportunities. For community-agency sites, a Department of Social Development service contract is the primary route.</w:t>
      </w:r>
    </w:p>
    <w:p>
      <w:pPr>
        <w:pBdr>
          <w:bottom w:val="single" w:color="E5E7EB" w:sz="6" w:space="1"/>
        </w:pBdr>
        <w:spacing w:after="120" w:before="120"/>
      </w:pPr>
      <w:r>
        <w:t xml:space="preserve"/>
      </w:r>
    </w:p>
    <w:p>
      <w:pPr>
        <w:pStyle w:val="Heading3"/>
      </w:pPr>
      <w:r>
        <w:t xml:space="preserve">Prince Edward Island</w:t>
      </w:r>
    </w:p>
    <w:p>
      <w:pPr>
        <w:spacing w:after="80" w:before="80"/>
      </w:pPr>
      <w:r>
        <w:rPr>
          <w:b/>
          <w:bCs/>
        </w:rPr>
        <w:t xml:space="preserve">Department:</w:t>
      </w:r>
      <w:r>
        <w:t xml:space="preserve"> </w:t>
      </w:r>
      <w:hyperlink w:history="1" r:id="rId45-ov36ol-lohwggda3ku">
        <w:r>
          <w:rPr>
            <w:rStyle w:val="Hyperlink"/>
            <w:color w:val="1D8B8B"/>
            <w:u w:val="single"/>
          </w:rPr>
          <w:t xml:space="preserve">Department of Education and Early Years</w:t>
        </w:r>
      </w:hyperlink>
    </w:p>
    <w:p>
      <w:pPr>
        <w:spacing w:after="80" w:before="80"/>
      </w:pPr>
      <w:r>
        <w:rPr>
          <w:b/>
          <w:bCs/>
        </w:rPr>
        <w:t xml:space="preserve">Special education funding.</w:t>
      </w:r>
      <w:r>
        <w:t xml:space="preserve"> PEI delivers special education through the Public Schools Branch and the Commission scolaire de langue française, with inclusion embedded in school-level staffing. Recent commitments include expanding access to programmes by 25 percent and reducing waitlists by at least half.</w:t>
      </w:r>
    </w:p>
    <w:p>
      <w:pPr>
        <w:spacing w:after="80" w:before="80"/>
      </w:pPr>
      <w:r>
        <w:rPr>
          <w:b/>
          <w:bCs/>
        </w:rPr>
        <w:t xml:space="preserve">Transition and workforce funding.</w:t>
      </w:r>
      <w:r>
        <w:t xml:space="preserve"> SkillsPEI, within the Department of Workforce, Advanced Learning and Population, delivers LMDA and WDA funds through employment and training programmes.</w:t>
      </w:r>
    </w:p>
    <w:p>
      <w:pPr>
        <w:spacing w:after="80" w:before="80"/>
      </w:pPr>
      <w:r>
        <w:rPr>
          <w:b/>
          <w:bCs/>
        </w:rPr>
        <w:t xml:space="preserve">Disability employment equivalent.</w:t>
      </w:r>
      <w:r>
        <w:t xml:space="preserve"> The Disability Support Program under the Department of Social Development and Seniors funds adults with intellectual and physical disabilities.</w:t>
      </w:r>
    </w:p>
    <w:p>
      <w:pPr>
        <w:spacing w:after="80" w:before="80"/>
      </w:pPr>
      <w:r>
        <w:rPr>
          <w:b/>
          <w:bCs/>
        </w:rPr>
        <w:t xml:space="preserve">Grants that could fund a PAES Lab.</w:t>
      </w:r>
      <w:r>
        <w:t xml:space="preserve"> For school-age or adult sites, contact the Department of Education and Early Years for current inclusive education capital and transition funding opportunities.</w:t>
      </w:r>
    </w:p>
    <w:p>
      <w:pPr>
        <w:pBdr>
          <w:bottom w:val="single" w:color="E5E7EB" w:sz="6" w:space="1"/>
        </w:pBdr>
        <w:spacing w:after="120" w:before="120"/>
      </w:pPr>
      <w:r>
        <w:t xml:space="preserve"/>
      </w:r>
    </w:p>
    <w:p>
      <w:pPr>
        <w:pStyle w:val="Heading3"/>
      </w:pPr>
      <w:r>
        <w:t xml:space="preserve">Newfoundland and Labrador</w:t>
      </w:r>
    </w:p>
    <w:p>
      <w:pPr>
        <w:spacing w:after="80" w:before="80"/>
      </w:pPr>
      <w:r>
        <w:rPr>
          <w:b/>
          <w:bCs/>
        </w:rPr>
        <w:t xml:space="preserve">Department:</w:t>
      </w:r>
      <w:r>
        <w:t xml:space="preserve"> </w:t>
      </w:r>
      <w:hyperlink w:history="1" r:id="rIddssud_dyutz6cok0bopoi">
        <w:r>
          <w:rPr>
            <w:rStyle w:val="Hyperlink"/>
            <w:color w:val="1D8B8B"/>
            <w:u w:val="single"/>
          </w:rPr>
          <w:t xml:space="preserve">Department of Education</w:t>
        </w:r>
      </w:hyperlink>
    </w:p>
    <w:p>
      <w:pPr>
        <w:spacing w:after="80" w:before="80"/>
      </w:pPr>
      <w:r>
        <w:rPr>
          <w:b/>
          <w:bCs/>
        </w:rPr>
        <w:t xml:space="preserve">Special education funding.</w:t>
      </w:r>
      <w:r>
        <w:t xml:space="preserve"> The province uses an Inclusive Learning model. Student Support Services within the Department of Education coordinates supports including alternate transportation, alternate-format materials, and assistive technology, and liaises with school districts.</w:t>
      </w:r>
    </w:p>
    <w:p>
      <w:pPr>
        <w:pStyle w:val="ListParagraph"/>
        <w:numPr>
          <w:ilvl w:val="0"/>
          <w:numId w:val="2"/>
        </w:numPr>
        <w:spacing w:after="40" w:before="40"/>
      </w:pPr>
      <w:hyperlink w:history="1" r:id="rIdidgz0hspxz9ab0s627jfh">
        <w:r>
          <w:rPr>
            <w:rStyle w:val="Hyperlink"/>
            <w:color w:val="1D8B8B"/>
            <w:u w:val="single"/>
          </w:rPr>
          <w:t xml:space="preserve">Student Support Services</w:t>
        </w:r>
      </w:hyperlink>
    </w:p>
    <w:p>
      <w:pPr>
        <w:spacing w:after="80" w:before="80"/>
      </w:pPr>
      <w:r>
        <w:rPr>
          <w:b/>
          <w:bCs/>
        </w:rPr>
        <w:t xml:space="preserve">Transition and workforce funding.</w:t>
      </w:r>
      <w:r>
        <w:t xml:space="preserve"> LMDA and WDA funds reach individuals and providers through the Department of Immigration, Population Growth and Skills. The Provincial Grant for High Need Students with Disabilities supplements Canada Student Grant equipment and services funding for post-secondary students.</w:t>
      </w:r>
    </w:p>
    <w:p>
      <w:pPr>
        <w:spacing w:after="80" w:before="80"/>
      </w:pPr>
      <w:r>
        <w:rPr>
          <w:b/>
          <w:bCs/>
        </w:rPr>
        <w:t xml:space="preserve">Disability employment equivalent.</w:t>
      </w:r>
      <w:r>
        <w:t xml:space="preserve"> The Community Supports Program within Children, Seniors and Social Development funds adults with intellectual and other disabilities. Opening Doors and community agencies deliver supported employment.</w:t>
      </w:r>
    </w:p>
    <w:p>
      <w:pPr>
        <w:spacing w:after="80" w:before="80"/>
      </w:pPr>
      <w:r>
        <w:rPr>
          <w:b/>
          <w:bCs/>
        </w:rPr>
        <w:t xml:space="preserve">Grants that could fund a PAES Lab.</w:t>
      </w:r>
      <w:r>
        <w:t xml:space="preserve"> Contact the Department of Education for current inclusive education capital and transition funding opportunities.</w:t>
      </w:r>
    </w:p>
    <w:p>
      <w:pPr>
        <w:pBdr>
          <w:bottom w:val="single" w:color="E5E7EB" w:sz="6" w:space="1"/>
        </w:pBdr>
        <w:spacing w:after="120" w:before="120"/>
      </w:pPr>
      <w:r>
        <w:t xml:space="preserve"/>
      </w:r>
    </w:p>
    <w:p>
      <w:pPr>
        <w:pStyle w:val="Heading3"/>
      </w:pPr>
      <w:r>
        <w:t xml:space="preserve">Yukon</w:t>
      </w:r>
    </w:p>
    <w:p>
      <w:pPr>
        <w:spacing w:after="80" w:before="80"/>
      </w:pPr>
      <w:r>
        <w:rPr>
          <w:b/>
          <w:bCs/>
        </w:rPr>
        <w:t xml:space="preserve">Department:</w:t>
      </w:r>
      <w:r>
        <w:t xml:space="preserve"> </w:t>
      </w:r>
      <w:hyperlink w:history="1" r:id="rIdr45jdp7rr_lbfqk9maxo-">
        <w:r>
          <w:rPr>
            <w:rStyle w:val="Hyperlink"/>
            <w:color w:val="1D8B8B"/>
            <w:u w:val="single"/>
          </w:rPr>
          <w:t xml:space="preserve">Yukon Department of Education</w:t>
        </w:r>
      </w:hyperlink>
    </w:p>
    <w:p>
      <w:pPr>
        <w:spacing w:after="80" w:before="80"/>
      </w:pPr>
      <w:r>
        <w:rPr>
          <w:b/>
          <w:bCs/>
        </w:rPr>
        <w:t xml:space="preserve">Special education funding.</w:t>
      </w:r>
      <w:r>
        <w:t xml:space="preserve"> Yukon is in the middle of a multi-year "Reimagining inclusive and special education" initiative, with commitments to update policy, align funding models and staffing to student needs, and expand holistic supports. Student Support Services delivers psychology, speech-language, occupational therapy, sensory impairment, social-emotional, and behaviour-intervention supports.</w:t>
      </w:r>
    </w:p>
    <w:p>
      <w:pPr>
        <w:pStyle w:val="ListParagraph"/>
        <w:numPr>
          <w:ilvl w:val="0"/>
          <w:numId w:val="2"/>
        </w:numPr>
        <w:spacing w:after="40" w:before="40"/>
      </w:pPr>
      <w:hyperlink w:history="1" r:id="rIdsct4lh7hal7z16nujny7s">
        <w:r>
          <w:rPr>
            <w:rStyle w:val="Hyperlink"/>
            <w:color w:val="1D8B8B"/>
            <w:u w:val="single"/>
          </w:rPr>
          <w:t xml:space="preserve">Reimagining inclusive and special education</w:t>
        </w:r>
      </w:hyperlink>
    </w:p>
    <w:p>
      <w:pPr>
        <w:spacing w:after="80" w:before="80"/>
      </w:pPr>
      <w:r>
        <w:rPr>
          <w:b/>
          <w:bCs/>
        </w:rPr>
        <w:t xml:space="preserve">Transition and workforce funding.</w:t>
      </w:r>
      <w:r>
        <w:t xml:space="preserve"> LMDA and WDA funds flow through the Department of Economic Development and the Department of Education's Advanced Education Branch.</w:t>
      </w:r>
    </w:p>
    <w:p>
      <w:pPr>
        <w:spacing w:after="80" w:before="80"/>
      </w:pPr>
      <w:r>
        <w:rPr>
          <w:b/>
          <w:bCs/>
        </w:rPr>
        <w:t xml:space="preserve">Disability employment equivalent.</w:t>
      </w:r>
      <w:r>
        <w:t xml:space="preserve"> Yukon Health and Social Services administers Social Assistance with disability benefits and contracts with community agencies for adult day and employment supports. Challenge Disability Resource Group and similar agencies deliver community-based employment supports.</w:t>
      </w:r>
    </w:p>
    <w:p>
      <w:pPr>
        <w:spacing w:after="80" w:before="80"/>
      </w:pPr>
      <w:r>
        <w:rPr>
          <w:b/>
          <w:bCs/>
        </w:rPr>
        <w:t xml:space="preserve">Grants that could fund a PAES Lab.</w:t>
      </w:r>
      <w:r>
        <w:t xml:space="preserve"> For school-age sites, the reimagining initiative is the policy context, and capital funding decisions sit within the Department of Education. Contact Yukon Education for current inclusive and special education capital opportunities.</w:t>
      </w:r>
    </w:p>
    <w:p>
      <w:pPr>
        <w:pBdr>
          <w:bottom w:val="single" w:color="E5E7EB" w:sz="6" w:space="1"/>
        </w:pBdr>
        <w:spacing w:after="120" w:before="120"/>
      </w:pPr>
      <w:r>
        <w:t xml:space="preserve"/>
      </w:r>
    </w:p>
    <w:p>
      <w:pPr>
        <w:pStyle w:val="Heading3"/>
      </w:pPr>
      <w:r>
        <w:t xml:space="preserve">Northwest Territories</w:t>
      </w:r>
    </w:p>
    <w:p>
      <w:pPr>
        <w:spacing w:after="80" w:before="80"/>
      </w:pPr>
      <w:r>
        <w:rPr>
          <w:b/>
          <w:bCs/>
        </w:rPr>
        <w:t xml:space="preserve">Department:</w:t>
      </w:r>
      <w:r>
        <w:t xml:space="preserve"> </w:t>
      </w:r>
      <w:hyperlink w:history="1" r:id="rIdxbwexuhngfxkvxpkueevj">
        <w:r>
          <w:rPr>
            <w:rStyle w:val="Hyperlink"/>
            <w:color w:val="1D8B8B"/>
            <w:u w:val="single"/>
          </w:rPr>
          <w:t xml:space="preserve">Education, Culture and Employment (ECE)</w:t>
        </w:r>
      </w:hyperlink>
    </w:p>
    <w:p>
      <w:pPr>
        <w:spacing w:after="80" w:before="80"/>
      </w:pPr>
      <w:r>
        <w:rPr>
          <w:b/>
          <w:bCs/>
        </w:rPr>
        <w:t xml:space="preserve">Special education funding.</w:t>
      </w:r>
      <w:r>
        <w:t xml:space="preserve"> ECE funds Inclusive Schooling through a 12-category formula, with a substantial portion supporting Support Assistant positions. The NWT School Funding Framework is updated annually.</w:t>
      </w:r>
    </w:p>
    <w:p>
      <w:pPr>
        <w:pStyle w:val="ListParagraph"/>
        <w:numPr>
          <w:ilvl w:val="0"/>
          <w:numId w:val="2"/>
        </w:numPr>
        <w:spacing w:after="40" w:before="40"/>
      </w:pPr>
      <w:hyperlink w:history="1" r:id="rIdr1kpsevne6yddjbln6nj_">
        <w:r>
          <w:rPr>
            <w:rStyle w:val="Hyperlink"/>
            <w:color w:val="1D8B8B"/>
            <w:u w:val="single"/>
          </w:rPr>
          <w:t xml:space="preserve">Inclusive Schooling</w:t>
        </w:r>
      </w:hyperlink>
    </w:p>
    <w:p>
      <w:pPr>
        <w:spacing w:after="80" w:before="80"/>
      </w:pPr>
      <w:r>
        <w:rPr>
          <w:b/>
          <w:bCs/>
        </w:rPr>
        <w:t xml:space="preserve">Transition and workforce funding.</w:t>
      </w:r>
      <w:r>
        <w:t xml:space="preserve"> ECE administers LMDA and WDA funds. Programmes include Student Financial Assistance (including Grant for Disabled Students), Training-on-the-Job, and Labour Market Programs.</w:t>
      </w:r>
    </w:p>
    <w:p>
      <w:pPr>
        <w:spacing w:after="80" w:before="80"/>
      </w:pPr>
      <w:r>
        <w:rPr>
          <w:b/>
          <w:bCs/>
        </w:rPr>
        <w:t xml:space="preserve">Disability employment equivalent.</w:t>
      </w:r>
      <w:r>
        <w:t xml:space="preserve"> Health and Social Services administers Income Assistance with a disability category. Adult supports are delivered through Health and Social Services contracts with community organisations.</w:t>
      </w:r>
    </w:p>
    <w:p>
      <w:pPr>
        <w:spacing w:after="80" w:before="80"/>
      </w:pPr>
      <w:r>
        <w:rPr>
          <w:b/>
          <w:bCs/>
        </w:rPr>
        <w:t xml:space="preserve">Grants that could fund a PAES Lab.</w:t>
      </w:r>
      <w:r>
        <w:t xml:space="preserve"> The Inclusive Schooling formula supports staffing primarily, not capital. Contact ECE for current inclusive education capital and transition funding opportunities.</w:t>
      </w:r>
    </w:p>
    <w:p>
      <w:pPr>
        <w:pBdr>
          <w:bottom w:val="single" w:color="E5E7EB" w:sz="6" w:space="1"/>
        </w:pBdr>
        <w:spacing w:after="120" w:before="120"/>
      </w:pPr>
      <w:r>
        <w:t xml:space="preserve"/>
      </w:r>
    </w:p>
    <w:p>
      <w:pPr>
        <w:pStyle w:val="Heading3"/>
      </w:pPr>
      <w:r>
        <w:t xml:space="preserve">Nunavut</w:t>
      </w:r>
    </w:p>
    <w:p>
      <w:pPr>
        <w:spacing w:after="80" w:before="80"/>
      </w:pPr>
      <w:r>
        <w:rPr>
          <w:b/>
          <w:bCs/>
        </w:rPr>
        <w:t xml:space="preserve">Department:</w:t>
      </w:r>
      <w:r>
        <w:t xml:space="preserve"> </w:t>
      </w:r>
      <w:hyperlink w:history="1" r:id="rId29fsku-1ah66j3n57gpyu">
        <w:r>
          <w:rPr>
            <w:rStyle w:val="Hyperlink"/>
            <w:color w:val="1D8B8B"/>
            <w:u w:val="single"/>
          </w:rPr>
          <w:t xml:space="preserve">Nunavut Department of Education</w:t>
        </w:r>
      </w:hyperlink>
    </w:p>
    <w:p>
      <w:pPr>
        <w:spacing w:after="80" w:before="80"/>
      </w:pPr>
      <w:r>
        <w:rPr>
          <w:b/>
          <w:bCs/>
        </w:rPr>
        <w:t xml:space="preserve">Special education funding.</w:t>
      </w:r>
      <w:r>
        <w:t xml:space="preserve"> Nunavut uses a block-funding model to District Education Authorities (DEAs). Most inclusion funding pays for Student Support Assistants (SSAs). Reviews have flagged significant gaps in specialist services. An Individual Education Plan (IEP) is developed for students unable to access the approved curricula, and an Individual Accommodation Plan (IAP) for students who need accommodations.</w:t>
      </w:r>
    </w:p>
    <w:p>
      <w:pPr>
        <w:spacing w:after="80" w:before="80"/>
      </w:pPr>
      <w:r>
        <w:rPr>
          <w:b/>
          <w:bCs/>
        </w:rPr>
        <w:t xml:space="preserve">Transition and workforce funding.</w:t>
      </w:r>
      <w:r>
        <w:t xml:space="preserve"> The Department of Family Services administers most LMDA and WDA programming through Career Development Offices in each community. ISET-funded Indigenous organisations also play a major role.</w:t>
      </w:r>
    </w:p>
    <w:p>
      <w:pPr>
        <w:spacing w:after="80" w:before="80"/>
      </w:pPr>
      <w:r>
        <w:rPr>
          <w:b/>
          <w:bCs/>
        </w:rPr>
        <w:t xml:space="preserve">Disability employment equivalent.</w:t>
      </w:r>
      <w:r>
        <w:t xml:space="preserve"> Family Services administers Income Assistance with a disability category. Adult disability supports are delivered through Family Services contracts and through Nunavut Tunngavik Inc. and its affiliated agencies.</w:t>
      </w:r>
    </w:p>
    <w:p>
      <w:pPr>
        <w:spacing w:after="80" w:before="80"/>
      </w:pPr>
      <w:r>
        <w:rPr>
          <w:b/>
          <w:bCs/>
        </w:rPr>
        <w:t xml:space="preserve">Grants that could fund a PAES Lab.</w:t>
      </w:r>
      <w:r>
        <w:t xml:space="preserve"> Block funding decisions sit with DEAs and the Department of Education. Contact the Department of Education for current inclusive education capital opportunities and the Department of Family Services for transition and employment funding. ISET-holding organisations (Kakivak Association, Kivalliq Partners in Development, Kitikmeot Inuit Association) are often the practical route for skills and equipment investments.</w:t>
      </w:r>
    </w:p>
    <w:p>
      <w:pPr>
        <w:pBdr>
          <w:bottom w:val="single" w:color="E5E7EB" w:sz="6" w:space="1"/>
        </w:pBdr>
        <w:spacing w:after="120" w:before="120"/>
      </w:pPr>
      <w:r>
        <w:t xml:space="preserve"/>
      </w:r>
    </w:p>
    <w:p>
      <w:pPr>
        <w:pStyle w:val="Heading2"/>
      </w:pPr>
      <w:r>
        <w:t xml:space="preserve">Final notes</w:t>
      </w:r>
    </w:p>
    <w:p>
      <w:pPr>
        <w:pStyle w:val="ListParagraph"/>
        <w:numPr>
          <w:ilvl w:val="0"/>
          <w:numId w:val="2"/>
        </w:numPr>
        <w:spacing w:after="40" w:before="40"/>
      </w:pPr>
      <w:r>
        <w:t xml:space="preserve">The strongest federal fits for PAES Labs are </w:t>
      </w:r>
      <w:r>
        <w:rPr>
          <w:b/>
          <w:bCs/>
        </w:rPr>
        <w:t xml:space="preserve">Skills for Success</w:t>
      </w:r>
      <w:r>
        <w:t xml:space="preserve"> (assessment tools angle), </w:t>
      </w:r>
      <w:r>
        <w:rPr>
          <w:b/>
          <w:bCs/>
        </w:rPr>
        <w:t xml:space="preserve">Opportunities Fund</w:t>
      </w:r>
      <w:r>
        <w:t xml:space="preserve"> (delivered via a non-profit partner), and </w:t>
      </w:r>
      <w:r>
        <w:rPr>
          <w:b/>
          <w:bCs/>
        </w:rPr>
        <w:t xml:space="preserve">ISET</w:t>
      </w:r>
      <w:r>
        <w:t xml:space="preserve"> (Indigenous settings).</w:t>
      </w:r>
    </w:p>
    <w:p>
      <w:pPr>
        <w:pStyle w:val="ListParagraph"/>
        <w:numPr>
          <w:ilvl w:val="0"/>
          <w:numId w:val="2"/>
        </w:numPr>
        <w:spacing w:after="40" w:before="40"/>
      </w:pPr>
      <w:r>
        <w:t xml:space="preserve">The strongest provincial fits are usually </w:t>
      </w:r>
      <w:r>
        <w:rPr>
          <w:b/>
          <w:bCs/>
        </w:rPr>
        <w:t xml:space="preserve">special education equipment allocations</w:t>
      </w:r>
      <w:r>
        <w:t xml:space="preserve"> (Ontario SEA) or </w:t>
      </w:r>
      <w:r>
        <w:rPr>
          <w:b/>
          <w:bCs/>
        </w:rPr>
        <w:t xml:space="preserve">disability employment-services contracts</w:t>
      </w:r>
      <w:r>
        <w:t xml:space="preserve"> (ODSP Employment Supports, CLBC, PDD).</w:t>
      </w:r>
    </w:p>
    <w:p>
      <w:pPr>
        <w:pStyle w:val="ListParagraph"/>
        <w:numPr>
          <w:ilvl w:val="0"/>
          <w:numId w:val="2"/>
        </w:numPr>
        <w:spacing w:after="40" w:before="40"/>
      </w:pPr>
      <w:r>
        <w:t xml:space="preserve">Capital grants for equipment specifically are rare in Canadian education; most PAES Lab purchases will be funded through divisional or board-level decisions using the flexible portions of existing special education envelopes, supplemented by LMDA/WDA-funded training contracts where the lab serves transition or adult clients.</w:t>
      </w:r>
    </w:p>
    <w:p>
      <w:pPr>
        <w:pStyle w:val="ListParagraph"/>
        <w:numPr>
          <w:ilvl w:val="0"/>
          <w:numId w:val="2"/>
        </w:numPr>
        <w:spacing w:after="40" w:before="40"/>
      </w:pPr>
      <w:r>
        <w:t xml:space="preserve">Where this document says "contact the ministry," treat that as a flag for follow-up rather than a dead end. Most provinces have rolling inclusive education and capital funding decisions that are not published as standing programmes.</w:t>
      </w:r>
    </w:p>
    <w:p>
      <w:pPr>
        <w:pStyle w:val="Heading1"/>
      </w:pPr>
      <w:r>
        <w:t xml:space="preserve">Additional and less-obvious funding routes (Canada)</w:t>
      </w:r>
    </w:p>
    <w:p>
      <w:pPr>
        <w:spacing w:after="80" w:before="80"/>
      </w:pPr>
      <w:r>
        <w:t xml:space="preserve">The federal and provincial sections cover the standard system. These are the routes that are less well known but have funded equipment and programming for disability transition in Canadian schools and community settings.</w:t>
      </w:r>
    </w:p>
    <w:p>
      <w:pPr>
        <w:pBdr>
          <w:bottom w:val="single" w:color="E5E7EB" w:sz="6" w:space="1"/>
        </w:pBdr>
        <w:spacing w:after="120" w:before="120"/>
      </w:pPr>
      <w:r>
        <w:t xml:space="preserve"/>
      </w:r>
    </w:p>
    <w:p>
      <w:pPr>
        <w:pStyle w:val="Heading2"/>
      </w:pPr>
      <w:r>
        <w:t xml:space="preserve">National streams beyond the core</w:t>
      </w:r>
    </w:p>
    <w:p>
      <w:pPr>
        <w:pStyle w:val="Heading3"/>
      </w:pPr>
      <w:r>
        <w:t xml:space="preserve">Canada Student Grant for Services and Equipment for Persons with Disabilities</w:t>
      </w:r>
    </w:p>
    <w:p>
      <w:pPr>
        <w:spacing w:after="80" w:before="80"/>
      </w:pPr>
      <w:r>
        <w:t xml:space="preserve">For post-secondary students with permanent disabilities who also qualify for a Canada Student Grant. Covers exceptional education-related services and equipment, up to $22,000 per academic year. Applies to individual students, not institutions, but relevant when a PAES Lab is part of a post-secondary disability services offering that student-directed funding flows into.</w:t>
      </w:r>
    </w:p>
    <w:p>
      <w:pPr>
        <w:spacing w:after="80" w:before="80"/>
      </w:pPr>
      <w:r>
        <w:rPr>
          <w:b/>
          <w:bCs/>
        </w:rPr>
        <w:t xml:space="preserve">Authoritative link:</w:t>
      </w:r>
      <w:r>
        <w:t xml:space="preserve"> </w:t>
      </w:r>
      <w:hyperlink w:history="1" r:id="rIdb18grynkrk3jinisqlhz9">
        <w:r>
          <w:rPr>
            <w:rStyle w:val="Hyperlink"/>
            <w:color w:val="1D8B8B"/>
            <w:u w:val="single"/>
          </w:rPr>
          <w:t xml:space="preserve">Canada.ca: Canada Student Grants and Loans for students with disabilities</w:t>
        </w:r>
      </w:hyperlink>
    </w:p>
    <w:p>
      <w:pPr>
        <w:pStyle w:val="Heading3"/>
      </w:pPr>
      <w:r>
        <w:t xml:space="preserve">Ready, Willing and Able (RWA)</w:t>
      </w:r>
    </w:p>
    <w:p>
      <w:pPr>
        <w:spacing w:after="80" w:before="80"/>
      </w:pPr>
      <w:r>
        <w:t xml:space="preserve">A national initiative supporting the employment of people with an intellectual disability or autism. Funded by federal and provincial sources, delivered by community partners such as the Canadian Association for Community Living and Canadian Autism Spectrum Disorders Alliance. RWA partners include schools and post-secondary providers running transition programmes. A PAES Lab hosted by an RWA-affiliated provider is well positioned for referral and co-funded programming.</w:t>
      </w:r>
    </w:p>
    <w:p>
      <w:pPr>
        <w:spacing w:after="80" w:before="80"/>
      </w:pPr>
      <w:r>
        <w:rPr>
          <w:b/>
          <w:bCs/>
        </w:rPr>
        <w:t xml:space="preserve">Authoritative link:</w:t>
      </w:r>
      <w:r>
        <w:t xml:space="preserve"> </w:t>
      </w:r>
      <w:hyperlink w:history="1" r:id="rIdkgag67ylhua65fntrgvz5">
        <w:r>
          <w:rPr>
            <w:rStyle w:val="Hyperlink"/>
            <w:color w:val="1D8B8B"/>
            <w:u w:val="single"/>
          </w:rPr>
          <w:t xml:space="preserve">readywillingable.ca</w:t>
        </w:r>
      </w:hyperlink>
    </w:p>
    <w:p>
      <w:pPr>
        <w:pStyle w:val="Heading3"/>
      </w:pPr>
      <w:r>
        <w:t xml:space="preserve">Jordan's Principle</w:t>
      </w:r>
    </w:p>
    <w:p>
      <w:pPr>
        <w:spacing w:after="80" w:before="80"/>
      </w:pPr>
      <w:r>
        <w:t xml:space="preserve">Federal funding to ensure First Nations children can access public services without delay, gap, or denial. Covers education, health, and social services including specialised equipment and assessments where needed by a First Nations child. For schools and communities serving First Nations students, Jordan's Principle can fund individual-level access to PAES-based assessment. Services Canada administers applications.</w:t>
      </w:r>
    </w:p>
    <w:p>
      <w:pPr>
        <w:spacing w:after="80" w:before="80"/>
      </w:pPr>
      <w:r>
        <w:rPr>
          <w:b/>
          <w:bCs/>
        </w:rPr>
        <w:t xml:space="preserve">Authoritative link:</w:t>
      </w:r>
      <w:r>
        <w:t xml:space="preserve"> </w:t>
      </w:r>
      <w:hyperlink w:history="1" r:id="rIdjbkxjjdviv-rli22x4snz">
        <w:r>
          <w:rPr>
            <w:rStyle w:val="Hyperlink"/>
            <w:color w:val="1D8B8B"/>
            <w:u w:val="single"/>
          </w:rPr>
          <w:t xml:space="preserve">sac-isc.gc.ca/eng/1568396042341</w:t>
        </w:r>
      </w:hyperlink>
    </w:p>
    <w:p>
      <w:pPr>
        <w:pStyle w:val="Heading3"/>
      </w:pPr>
      <w:r>
        <w:t xml:space="preserve">Rick Hansen Foundation School Program</w:t>
      </w:r>
    </w:p>
    <w:p>
      <w:pPr>
        <w:spacing w:after="80" w:before="80"/>
      </w:pPr>
      <w:r>
        <w:t xml:space="preserve">Provides curriculum resources, accessibility certification, and grants to Canadian schools focused on disability awareness and inclusion. Less a direct capital source for a PAES Lab, more a strategic partner that validates the wider inclusion positioning of a PAES investment.</w:t>
      </w:r>
    </w:p>
    <w:p>
      <w:pPr>
        <w:spacing w:after="80" w:before="80"/>
      </w:pPr>
      <w:r>
        <w:rPr>
          <w:b/>
          <w:bCs/>
        </w:rPr>
        <w:t xml:space="preserve">Authoritative link:</w:t>
      </w:r>
      <w:r>
        <w:t xml:space="preserve"> </w:t>
      </w:r>
      <w:hyperlink w:history="1" r:id="rId0ay4_gwinh6oxedthntp8">
        <w:r>
          <w:rPr>
            <w:rStyle w:val="Hyperlink"/>
            <w:color w:val="1D8B8B"/>
            <w:u w:val="single"/>
          </w:rPr>
          <w:t xml:space="preserve">rickhansen.com/become-accessible/rick-hansen-school-program</w:t>
        </w:r>
      </w:hyperlink>
    </w:p>
    <w:p>
      <w:pPr>
        <w:pBdr>
          <w:bottom w:val="single" w:color="E5E7EB" w:sz="6" w:space="1"/>
        </w:pBdr>
        <w:spacing w:after="120" w:before="120"/>
      </w:pPr>
      <w:r>
        <w:t xml:space="preserve"/>
      </w:r>
    </w:p>
    <w:p>
      <w:pPr>
        <w:pStyle w:val="Heading2"/>
      </w:pPr>
      <w:r>
        <w:t xml:space="preserve">Provincial individual-directed and family-directed funding</w:t>
      </w:r>
    </w:p>
    <w:p>
      <w:pPr>
        <w:spacing w:after="80" w:before="80"/>
      </w:pPr>
      <w:r>
        <w:t xml:space="preserve">Most provinces run individual- or family-directed funding envelopes that can flow to services including assessment. These are not grant competitions; they are entitlements or allocations that beneficiaries can direct to eligible services.</w:t>
      </w:r>
    </w:p>
    <w:p>
      <w:pPr>
        <w:pStyle w:val="ListParagraph"/>
        <w:numPr>
          <w:ilvl w:val="0"/>
          <w:numId w:val="2"/>
        </w:numPr>
        <w:spacing w:after="40" w:before="40"/>
      </w:pPr>
      <w:r>
        <w:rPr>
          <w:b/>
          <w:bCs/>
        </w:rPr>
        <w:t xml:space="preserve">Alberta</w:t>
      </w:r>
      <w:r>
        <w:t xml:space="preserve">: Family Support for Children with Disabilities (FSCD). </w:t>
      </w:r>
      <w:hyperlink w:history="1" r:id="rIdwjf1bhlsf9s8bo2yeb8eq">
        <w:r>
          <w:rPr>
            <w:rStyle w:val="Hyperlink"/>
            <w:color w:val="1D8B8B"/>
            <w:u w:val="single"/>
          </w:rPr>
          <w:t xml:space="preserve">alberta.ca/fscd</w:t>
        </w:r>
      </w:hyperlink>
    </w:p>
    <w:p>
      <w:pPr>
        <w:pStyle w:val="ListParagraph"/>
        <w:numPr>
          <w:ilvl w:val="0"/>
          <w:numId w:val="2"/>
        </w:numPr>
        <w:spacing w:after="40" w:before="40"/>
      </w:pPr>
      <w:r>
        <w:rPr>
          <w:b/>
          <w:bCs/>
        </w:rPr>
        <w:t xml:space="preserve">Ontario</w:t>
      </w:r>
      <w:r>
        <w:t xml:space="preserve">: Special Services at Home (SSAH) and Passport Program for adults. </w:t>
      </w:r>
      <w:hyperlink w:history="1" r:id="rIduyidree_y3vy_pe1zgjjt">
        <w:r>
          <w:rPr>
            <w:rStyle w:val="Hyperlink"/>
            <w:color w:val="1D8B8B"/>
            <w:u w:val="single"/>
          </w:rPr>
          <w:t xml:space="preserve">ontario.ca/page/special-services-at-home</w:t>
        </w:r>
      </w:hyperlink>
    </w:p>
    <w:p>
      <w:pPr>
        <w:pStyle w:val="ListParagraph"/>
        <w:numPr>
          <w:ilvl w:val="0"/>
          <w:numId w:val="2"/>
        </w:numPr>
        <w:spacing w:after="40" w:before="40"/>
      </w:pPr>
      <w:r>
        <w:rPr>
          <w:b/>
          <w:bCs/>
        </w:rPr>
        <w:t xml:space="preserve">British Columbia</w:t>
      </w:r>
      <w:r>
        <w:t xml:space="preserve">: At Home Program, and Autism Funding (under-18 and over-18 streams). </w:t>
      </w:r>
      <w:hyperlink w:history="1" r:id="rIdxpx7hjnxonoiw6dkf-6u5">
        <w:r>
          <w:rPr>
            <w:rStyle w:val="Hyperlink"/>
            <w:color w:val="1D8B8B"/>
            <w:u w:val="single"/>
          </w:rPr>
          <w:t xml:space="preserve">gov.bc.ca/MCFD autism-funding</w:t>
        </w:r>
      </w:hyperlink>
    </w:p>
    <w:p>
      <w:pPr>
        <w:pStyle w:val="ListParagraph"/>
        <w:numPr>
          <w:ilvl w:val="0"/>
          <w:numId w:val="2"/>
        </w:numPr>
        <w:spacing w:after="40" w:before="40"/>
      </w:pPr>
      <w:r>
        <w:rPr>
          <w:b/>
          <w:bCs/>
        </w:rPr>
        <w:t xml:space="preserve">Quebec</w:t>
      </w:r>
      <w:r>
        <w:t xml:space="preserve">: Supplement for Handicapped Children Requiring Exceptional Care and related allocations.</w:t>
      </w:r>
    </w:p>
    <w:p>
      <w:pPr>
        <w:pStyle w:val="ListParagraph"/>
        <w:numPr>
          <w:ilvl w:val="0"/>
          <w:numId w:val="2"/>
        </w:numPr>
        <w:spacing w:after="40" w:before="40"/>
      </w:pPr>
      <w:r>
        <w:rPr>
          <w:b/>
          <w:bCs/>
        </w:rPr>
        <w:t xml:space="preserve">Manitoba</w:t>
      </w:r>
      <w:r>
        <w:t xml:space="preserve">: Children's disABILITY Services.</w:t>
      </w:r>
    </w:p>
    <w:p>
      <w:pPr>
        <w:pStyle w:val="ListParagraph"/>
        <w:numPr>
          <w:ilvl w:val="0"/>
          <w:numId w:val="2"/>
        </w:numPr>
        <w:spacing w:after="40" w:before="40"/>
      </w:pPr>
      <w:r>
        <w:rPr>
          <w:b/>
          <w:bCs/>
        </w:rPr>
        <w:t xml:space="preserve">Saskatchewan</w:t>
      </w:r>
      <w:r>
        <w:t xml:space="preserve">: Autism Spectrum Disorder Individualized Funding and Cognitive Disability Strategy funding.</w:t>
      </w:r>
    </w:p>
    <w:p>
      <w:pPr>
        <w:pStyle w:val="ListParagraph"/>
        <w:numPr>
          <w:ilvl w:val="0"/>
          <w:numId w:val="2"/>
        </w:numPr>
        <w:spacing w:after="40" w:before="40"/>
      </w:pPr>
      <w:r>
        <w:rPr>
          <w:b/>
          <w:bCs/>
        </w:rPr>
        <w:t xml:space="preserve">Atlantic provinces</w:t>
      </w:r>
      <w:r>
        <w:t xml:space="preserve">: disability support programmes as listed in the provincial sections.</w:t>
      </w:r>
    </w:p>
    <w:p>
      <w:pPr>
        <w:spacing w:after="80" w:before="80"/>
      </w:pPr>
      <w:r>
        <w:t xml:space="preserve">These funds pay for services at the individual level. A PAES-based service that is listed as an approved provider can receive payment from multiple individual envelopes, aggregating into a sustainable revenue line.</w:t>
      </w:r>
    </w:p>
    <w:p>
      <w:pPr>
        <w:pBdr>
          <w:bottom w:val="single" w:color="E5E7EB" w:sz="6" w:space="1"/>
        </w:pBdr>
        <w:spacing w:after="120" w:before="120"/>
      </w:pPr>
      <w:r>
        <w:t xml:space="preserve"/>
      </w:r>
    </w:p>
    <w:p>
      <w:pPr>
        <w:pStyle w:val="Heading2"/>
      </w:pPr>
      <w:r>
        <w:t xml:space="preserve">Health and social care streams</w:t>
      </w:r>
    </w:p>
    <w:p>
      <w:pPr>
        <w:pStyle w:val="Heading3"/>
      </w:pPr>
      <w:r>
        <w:t xml:space="preserve">Provincial disability benefits and employment supports</w:t>
      </w:r>
    </w:p>
    <w:p>
      <w:pPr>
        <w:spacing w:after="80" w:before="80"/>
      </w:pPr>
      <w:r>
        <w:t xml:space="preserve">Most provinces' disability income support programmes include employment support streams that can pay community providers. Programmes mentioned in the provincial sections (ODSP-ES in Ontario, CLBC in BC, PDD in Alberta, CLDS in Manitoba, DSP in Nova Scotia, CSP in NL) operate on a service-agreement basis with community providers. If you are a community provider running a PAES Lab, a disability-services contract is often the steady revenue line underneath the lab.</w:t>
      </w:r>
    </w:p>
    <w:p>
      <w:pPr>
        <w:pStyle w:val="Heading3"/>
      </w:pPr>
      <w:r>
        <w:t xml:space="preserve">Autism funding programmes</w:t>
      </w:r>
    </w:p>
    <w:p>
      <w:pPr>
        <w:spacing w:after="80" w:before="80"/>
      </w:pPr>
      <w:r>
        <w:t xml:space="preserve">Several provinces maintain dedicated autism funding streams for assessment, therapy, and educational support. Programmes change frequently; check current provincial autism strategies.</w:t>
      </w:r>
    </w:p>
    <w:p>
      <w:pPr>
        <w:pStyle w:val="Heading3"/>
      </w:pPr>
      <w:r>
        <w:t xml:space="preserve">Youth mental health and complex needs funding</w:t>
      </w:r>
    </w:p>
    <w:p>
      <w:pPr>
        <w:spacing w:after="80" w:before="80"/>
      </w:pPr>
      <w:r>
        <w:t xml:space="preserve">Some provinces fund complex-needs initiatives (Ontario's Connected Care, BC's Foundry) that intersect with transition. Not usually a PAES Lab capital source, but possible revenue for integrated programming.</w:t>
      </w:r>
    </w:p>
    <w:p>
      <w:pPr>
        <w:pBdr>
          <w:bottom w:val="single" w:color="E5E7EB" w:sz="6" w:space="1"/>
        </w:pBdr>
        <w:spacing w:after="120" w:before="120"/>
      </w:pPr>
      <w:r>
        <w:t xml:space="preserve"/>
      </w:r>
    </w:p>
    <w:p>
      <w:pPr>
        <w:pStyle w:val="Heading2"/>
      </w:pPr>
      <w:r>
        <w:t xml:space="preserve">Philanthropy and community funding</w:t>
      </w:r>
    </w:p>
    <w:p>
      <w:pPr>
        <w:pStyle w:val="Heading3"/>
      </w:pPr>
      <w:r>
        <w:t xml:space="preserve">Canadian foundations with education and disability relevance</w:t>
      </w:r>
    </w:p>
    <w:p>
      <w:pPr>
        <w:pStyle w:val="ListParagraph"/>
        <w:numPr>
          <w:ilvl w:val="0"/>
          <w:numId w:val="2"/>
        </w:numPr>
        <w:spacing w:after="40" w:before="40"/>
      </w:pPr>
      <w:r>
        <w:rPr>
          <w:b/>
          <w:bCs/>
        </w:rPr>
        <w:t xml:space="preserve">Ontario Trillium Foundation</w:t>
      </w:r>
      <w:r>
        <w:t xml:space="preserve">: province of Ontario community grants. </w:t>
      </w:r>
      <w:hyperlink w:history="1" r:id="rIdtvqourmlwgbvhrbxslsqk">
        <w:r>
          <w:rPr>
            <w:rStyle w:val="Hyperlink"/>
            <w:color w:val="1D8B8B"/>
            <w:u w:val="single"/>
          </w:rPr>
          <w:t xml:space="preserve">otf.ca</w:t>
        </w:r>
      </w:hyperlink>
    </w:p>
    <w:p>
      <w:pPr>
        <w:pStyle w:val="ListParagraph"/>
        <w:numPr>
          <w:ilvl w:val="0"/>
          <w:numId w:val="2"/>
        </w:numPr>
        <w:spacing w:after="40" w:before="40"/>
      </w:pPr>
      <w:r>
        <w:rPr>
          <w:b/>
          <w:bCs/>
        </w:rPr>
        <w:t xml:space="preserve">The Azrieli Foundation</w:t>
      </w:r>
      <w:r>
        <w:t xml:space="preserve">: Canadian and international grants in education, neurodevelopmental research, and community. </w:t>
      </w:r>
      <w:hyperlink w:history="1" r:id="rIdjje6ppqp4968u-n3y0icc">
        <w:r>
          <w:rPr>
            <w:rStyle w:val="Hyperlink"/>
            <w:color w:val="1D8B8B"/>
            <w:u w:val="single"/>
          </w:rPr>
          <w:t xml:space="preserve">azrielifoundation.org</w:t>
        </w:r>
      </w:hyperlink>
    </w:p>
    <w:p>
      <w:pPr>
        <w:pStyle w:val="ListParagraph"/>
        <w:numPr>
          <w:ilvl w:val="0"/>
          <w:numId w:val="2"/>
        </w:numPr>
        <w:spacing w:after="40" w:before="40"/>
      </w:pPr>
      <w:r>
        <w:rPr>
          <w:b/>
          <w:bCs/>
        </w:rPr>
        <w:t xml:space="preserve">J.W. McConnell Family Foundation</w:t>
      </w:r>
      <w:r>
        <w:t xml:space="preserve">: social innovation, inclusive communities. </w:t>
      </w:r>
      <w:hyperlink w:history="1" r:id="rIdbtiol4plv9q6y6ex-9ldt">
        <w:r>
          <w:rPr>
            <w:rStyle w:val="Hyperlink"/>
            <w:color w:val="1D8B8B"/>
            <w:u w:val="single"/>
          </w:rPr>
          <w:t xml:space="preserve">mcconnellfoundation.ca</w:t>
        </w:r>
      </w:hyperlink>
    </w:p>
    <w:p>
      <w:pPr>
        <w:pStyle w:val="ListParagraph"/>
        <w:numPr>
          <w:ilvl w:val="0"/>
          <w:numId w:val="2"/>
        </w:numPr>
        <w:spacing w:after="40" w:before="40"/>
      </w:pPr>
      <w:r>
        <w:rPr>
          <w:b/>
          <w:bCs/>
        </w:rPr>
        <w:t xml:space="preserve">Vancouver Foundation</w:t>
      </w:r>
      <w:r>
        <w:t xml:space="preserve">: regional grants for community projects. </w:t>
      </w:r>
      <w:hyperlink w:history="1" r:id="rIdfuejkp9pio1lf4l_gmpwc">
        <w:r>
          <w:rPr>
            <w:rStyle w:val="Hyperlink"/>
            <w:color w:val="1D8B8B"/>
            <w:u w:val="single"/>
          </w:rPr>
          <w:t xml:space="preserve">vancouverfoundation.ca</w:t>
        </w:r>
      </w:hyperlink>
    </w:p>
    <w:p>
      <w:pPr>
        <w:pStyle w:val="ListParagraph"/>
        <w:numPr>
          <w:ilvl w:val="0"/>
          <w:numId w:val="2"/>
        </w:numPr>
        <w:spacing w:after="40" w:before="40"/>
      </w:pPr>
      <w:r>
        <w:rPr>
          <w:b/>
          <w:bCs/>
        </w:rPr>
        <w:t xml:space="preserve">Edmonton Community Foundation</w:t>
      </w:r>
      <w:r>
        <w:t xml:space="preserve">: regional grants in education and disability services. </w:t>
      </w:r>
      <w:hyperlink w:history="1" r:id="rId6ptgv8kzbstekh66virnw">
        <w:r>
          <w:rPr>
            <w:rStyle w:val="Hyperlink"/>
            <w:color w:val="1D8B8B"/>
            <w:u w:val="single"/>
          </w:rPr>
          <w:t xml:space="preserve">ecfoundation.org</w:t>
        </w:r>
      </w:hyperlink>
    </w:p>
    <w:p>
      <w:pPr>
        <w:pStyle w:val="ListParagraph"/>
        <w:numPr>
          <w:ilvl w:val="0"/>
          <w:numId w:val="2"/>
        </w:numPr>
        <w:spacing w:after="40" w:before="40"/>
      </w:pPr>
      <w:r>
        <w:rPr>
          <w:b/>
          <w:bCs/>
        </w:rPr>
        <w:t xml:space="preserve">Winnipeg Foundation</w:t>
      </w:r>
      <w:r>
        <w:t xml:space="preserve">: regional community grants. </w:t>
      </w:r>
      <w:hyperlink w:history="1" r:id="rIdgv7flek1n130592ytlm5n">
        <w:r>
          <w:rPr>
            <w:rStyle w:val="Hyperlink"/>
            <w:color w:val="1D8B8B"/>
            <w:u w:val="single"/>
          </w:rPr>
          <w:t xml:space="preserve">wpgfdn.org</w:t>
        </w:r>
      </w:hyperlink>
    </w:p>
    <w:p>
      <w:pPr>
        <w:pStyle w:val="ListParagraph"/>
        <w:numPr>
          <w:ilvl w:val="0"/>
          <w:numId w:val="2"/>
        </w:numPr>
        <w:spacing w:after="40" w:before="40"/>
      </w:pPr>
      <w:r>
        <w:rPr>
          <w:b/>
          <w:bCs/>
        </w:rPr>
        <w:t xml:space="preserve">Calgary Foundation</w:t>
      </w:r>
      <w:r>
        <w:t xml:space="preserve">: regional community grants. </w:t>
      </w:r>
      <w:hyperlink w:history="1" r:id="rId2mepmfaabog7qe_myajm2">
        <w:r>
          <w:rPr>
            <w:rStyle w:val="Hyperlink"/>
            <w:color w:val="1D8B8B"/>
            <w:u w:val="single"/>
          </w:rPr>
          <w:t xml:space="preserve">calgaryfoundation.org</w:t>
        </w:r>
      </w:hyperlink>
    </w:p>
    <w:p>
      <w:pPr>
        <w:pStyle w:val="ListParagraph"/>
        <w:numPr>
          <w:ilvl w:val="0"/>
          <w:numId w:val="2"/>
        </w:numPr>
        <w:spacing w:after="40" w:before="40"/>
      </w:pPr>
      <w:r>
        <w:rPr>
          <w:b/>
          <w:bCs/>
        </w:rPr>
        <w:t xml:space="preserve">Toronto Foundation</w:t>
      </w:r>
      <w:r>
        <w:t xml:space="preserve">: regional community grants. </w:t>
      </w:r>
      <w:hyperlink w:history="1" r:id="rIdo_x7qm4w_30oqru-d3pvv">
        <w:r>
          <w:rPr>
            <w:rStyle w:val="Hyperlink"/>
            <w:color w:val="1D8B8B"/>
            <w:u w:val="single"/>
          </w:rPr>
          <w:t xml:space="preserve">torontofoundation.ca</w:t>
        </w:r>
      </w:hyperlink>
    </w:p>
    <w:p>
      <w:pPr>
        <w:pStyle w:val="ListParagraph"/>
        <w:numPr>
          <w:ilvl w:val="0"/>
          <w:numId w:val="2"/>
        </w:numPr>
        <w:spacing w:after="40" w:before="40"/>
      </w:pPr>
      <w:r>
        <w:rPr>
          <w:b/>
          <w:bCs/>
        </w:rPr>
        <w:t xml:space="preserve">Halifax Foundation, Greater Saint John, Ottawa Foundation</w:t>
      </w:r>
      <w:r>
        <w:t xml:space="preserve"> and other regional community foundations.</w:t>
      </w:r>
    </w:p>
    <w:p>
      <w:pPr>
        <w:pStyle w:val="Heading3"/>
      </w:pPr>
      <w:r>
        <w:t xml:space="preserve">United Way Centraide</w:t>
      </w:r>
    </w:p>
    <w:p>
      <w:pPr>
        <w:spacing w:after="80" w:before="80"/>
      </w:pPr>
      <w:r>
        <w:t xml:space="preserve">Local United Way Centraide chapters fund education, disability, and employment programmes across Canada. Strong candidates for community-based PAES providers working with low-income and disability populations.</w:t>
      </w:r>
    </w:p>
    <w:p>
      <w:pPr>
        <w:spacing w:after="80" w:before="80"/>
      </w:pPr>
      <w:r>
        <w:rPr>
          <w:b/>
          <w:bCs/>
        </w:rPr>
        <w:t xml:space="preserve">Authoritative link:</w:t>
      </w:r>
      <w:r>
        <w:t xml:space="preserve"> </w:t>
      </w:r>
      <w:hyperlink w:history="1" r:id="rIdoyq1lzdzdqm0unjzt-t_p">
        <w:r>
          <w:rPr>
            <w:rStyle w:val="Hyperlink"/>
            <w:color w:val="1D8B8B"/>
            <w:u w:val="single"/>
          </w:rPr>
          <w:t xml:space="preserve">unitedway.ca</w:t>
        </w:r>
      </w:hyperlink>
    </w:p>
    <w:p>
      <w:pPr>
        <w:pStyle w:val="Heading3"/>
      </w:pPr>
      <w:r>
        <w:t xml:space="preserve">National service organisations</w:t>
      </w:r>
    </w:p>
    <w:p>
      <w:pPr>
        <w:pStyle w:val="ListParagraph"/>
        <w:numPr>
          <w:ilvl w:val="0"/>
          <w:numId w:val="2"/>
        </w:numPr>
        <w:spacing w:after="40" w:before="40"/>
      </w:pPr>
      <w:r>
        <w:rPr>
          <w:b/>
          <w:bCs/>
        </w:rPr>
        <w:t xml:space="preserve">Rotary Canada</w:t>
      </w:r>
      <w:r>
        <w:t xml:space="preserve">: community and international service grants.</w:t>
      </w:r>
    </w:p>
    <w:p>
      <w:pPr>
        <w:pStyle w:val="ListParagraph"/>
        <w:numPr>
          <w:ilvl w:val="0"/>
          <w:numId w:val="2"/>
        </w:numPr>
        <w:spacing w:after="40" w:before="40"/>
      </w:pPr>
      <w:r>
        <w:rPr>
          <w:b/>
          <w:bCs/>
        </w:rPr>
        <w:t xml:space="preserve">Lions Clubs and Kiwanis Canada</w:t>
      </w:r>
      <w:r>
        <w:t xml:space="preserve">: community service.</w:t>
      </w:r>
    </w:p>
    <w:p>
      <w:pPr>
        <w:pStyle w:val="ListParagraph"/>
        <w:numPr>
          <w:ilvl w:val="0"/>
          <w:numId w:val="2"/>
        </w:numPr>
        <w:spacing w:after="40" w:before="40"/>
      </w:pPr>
      <w:r>
        <w:rPr>
          <w:b/>
          <w:bCs/>
        </w:rPr>
        <w:t xml:space="preserve">Variety: The Children's Charity of Canada</w:t>
      </w:r>
      <w:r>
        <w:t xml:space="preserve">: equipment and services for children with special needs.</w:t>
      </w:r>
    </w:p>
    <w:p>
      <w:pPr>
        <w:pStyle w:val="ListParagraph"/>
        <w:numPr>
          <w:ilvl w:val="0"/>
          <w:numId w:val="2"/>
        </w:numPr>
        <w:spacing w:after="40" w:before="40"/>
      </w:pPr>
      <w:r>
        <w:rPr>
          <w:b/>
          <w:bCs/>
        </w:rPr>
        <w:t xml:space="preserve">Easter Seals Canada</w:t>
      </w:r>
      <w:r>
        <w:t xml:space="preserve">: camps, equipment, services for children and young adults with disabilities.</w:t>
      </w:r>
    </w:p>
    <w:p>
      <w:pPr>
        <w:pStyle w:val="Heading3"/>
      </w:pPr>
      <w:r>
        <w:t xml:space="preserve">Corporate giving</w:t>
      </w:r>
    </w:p>
    <w:p>
      <w:pPr>
        <w:spacing w:after="80" w:before="80"/>
      </w:pPr>
      <w:r>
        <w:t xml:space="preserve">Major Canadian employers (TD Bank Group, RBC, Scotiabank, Manulife, Suncor, Loblaws, Sobeys, Canadian Tire, Shopify) run CSR programmes with education and disability categories. Employers that recruit neurodivergent talent (SAP Canada, Microsoft Canada, CIBC) are particular candidates for workforce-pipeline partnerships.</w:t>
      </w:r>
    </w:p>
    <w:p>
      <w:pPr>
        <w:pBdr>
          <w:bottom w:val="single" w:color="E5E7EB" w:sz="6" w:space="1"/>
        </w:pBdr>
        <w:spacing w:after="120" w:before="120"/>
      </w:pPr>
      <w:r>
        <w:t xml:space="preserve"/>
      </w:r>
    </w:p>
    <w:p>
      <w:pPr>
        <w:pStyle w:val="Heading2"/>
      </w:pPr>
      <w:r>
        <w:t xml:space="preserve">For Indigenous communities</w:t>
      </w:r>
    </w:p>
    <w:p>
      <w:pPr>
        <w:spacing w:after="80" w:before="80"/>
      </w:pPr>
      <w:r>
        <w:t xml:space="preserve">In addition to ISET and Jordan's Principle already mentioned, sources worth asking about include:</w:t>
      </w:r>
    </w:p>
    <w:p>
      <w:pPr>
        <w:pStyle w:val="ListParagraph"/>
        <w:numPr>
          <w:ilvl w:val="0"/>
          <w:numId w:val="2"/>
        </w:numPr>
        <w:spacing w:after="40" w:before="40"/>
      </w:pPr>
      <w:r>
        <w:rPr>
          <w:b/>
          <w:bCs/>
        </w:rPr>
        <w:t xml:space="preserve">Indigenous Services Canada (ISC) education capital</w:t>
      </w:r>
      <w:r>
        <w:t xml:space="preserve">: for schools on reserve, capital funding is negotiated through ISC regional offices. PAES as a vocational and transition asset has been funded through this route.</w:t>
      </w:r>
    </w:p>
    <w:p>
      <w:pPr>
        <w:pStyle w:val="ListParagraph"/>
        <w:numPr>
          <w:ilvl w:val="0"/>
          <w:numId w:val="2"/>
        </w:numPr>
        <w:spacing w:after="40" w:before="40"/>
      </w:pPr>
      <w:r>
        <w:rPr>
          <w:b/>
          <w:bCs/>
        </w:rPr>
        <w:t xml:space="preserve">First Nations and Inuit Youth Employment Strategy</w:t>
      </w:r>
      <w:r>
        <w:t xml:space="preserve">: includes summer employment, skills, and First Nations and Inuit Summer Work Experience Program funds that community providers can combine with ISET.</w:t>
      </w:r>
    </w:p>
    <w:p>
      <w:pPr>
        <w:pStyle w:val="ListParagraph"/>
        <w:numPr>
          <w:ilvl w:val="0"/>
          <w:numId w:val="2"/>
        </w:numPr>
        <w:spacing w:after="40" w:before="40"/>
      </w:pPr>
      <w:r>
        <w:rPr>
          <w:b/>
          <w:bCs/>
        </w:rPr>
        <w:t xml:space="preserve">Tribal Councils and Treaty Education Authorities</w:t>
      </w:r>
      <w:r>
        <w:t xml:space="preserve">: jurisdiction over education varies; some First Nations operate under self-government education agreements that consolidate federal funding into a single envelope the community directs.</w:t>
      </w:r>
    </w:p>
    <w:p>
      <w:pPr>
        <w:pStyle w:val="ListParagraph"/>
        <w:numPr>
          <w:ilvl w:val="0"/>
          <w:numId w:val="2"/>
        </w:numPr>
        <w:spacing w:after="40" w:before="40"/>
      </w:pPr>
      <w:r>
        <w:rPr>
          <w:b/>
          <w:bCs/>
        </w:rPr>
        <w:t xml:space="preserve">Métis Nation and Métis Settlement education bodies</w:t>
      </w:r>
      <w:r>
        <w:t xml:space="preserve"> (Alberta and elsewhere): distinct funding streams for Métis learners.</w:t>
      </w:r>
    </w:p>
    <w:p>
      <w:pPr>
        <w:spacing w:after="80" w:before="80"/>
      </w:pPr>
      <w:r>
        <w:t xml:space="preserve">These sources are relational, not competitive. The route is a named conversation with the community's education director.</w:t>
      </w:r>
    </w:p>
    <w:p>
      <w:pPr>
        <w:pBdr>
          <w:bottom w:val="single" w:color="E5E7EB" w:sz="6" w:space="1"/>
        </w:pBdr>
        <w:spacing w:after="120" w:before="120"/>
      </w:pPr>
      <w:r>
        <w:t xml:space="preserve"/>
      </w:r>
    </w:p>
    <w:p>
      <w:pPr>
        <w:pStyle w:val="Heading2"/>
      </w:pPr>
      <w:r>
        <w:t xml:space="preserve">How to stack sources in Canada</w:t>
      </w:r>
    </w:p>
    <w:p>
      <w:pPr>
        <w:spacing w:after="80" w:before="80"/>
      </w:pPr>
      <w:r>
        <w:t xml:space="preserve">A realistic combination for a $60,000 PAES Lab in a Canadian school:</w:t>
      </w:r>
    </w:p>
    <w:p>
      <w:pPr>
        <w:pStyle w:val="ListParagraph"/>
        <w:numPr>
          <w:ilvl w:val="0"/>
          <w:numId w:val="2"/>
        </w:numPr>
        <w:spacing w:after="40" w:before="40"/>
      </w:pPr>
      <w:r>
        <w:rPr>
          <w:b/>
          <w:bCs/>
        </w:rPr>
        <w:t xml:space="preserve">Capital build</w:t>
      </w:r>
      <w:r>
        <w:t xml:space="preserve">: special education allocation within the provincial funding formula ($30-40K if board is persuaded), plus a community foundation grant ($10-15K), plus a service organisation grant ($5K).</w:t>
      </w:r>
    </w:p>
    <w:p>
      <w:pPr>
        <w:pStyle w:val="ListParagraph"/>
        <w:numPr>
          <w:ilvl w:val="0"/>
          <w:numId w:val="2"/>
        </w:numPr>
        <w:spacing w:after="40" w:before="40"/>
      </w:pPr>
      <w:r>
        <w:rPr>
          <w:b/>
          <w:bCs/>
        </w:rPr>
        <w:t xml:space="preserve">Practitioner training</w:t>
      </w:r>
      <w:r>
        <w:t xml:space="preserve">: school board professional development budget plus (if applicable) Skills for Success project funding as a co-investment.</w:t>
      </w:r>
    </w:p>
    <w:p>
      <w:pPr>
        <w:pStyle w:val="ListParagraph"/>
        <w:numPr>
          <w:ilvl w:val="0"/>
          <w:numId w:val="2"/>
        </w:numPr>
        <w:spacing w:after="40" w:before="40"/>
      </w:pPr>
      <w:r>
        <w:rPr>
          <w:b/>
          <w:bCs/>
        </w:rPr>
        <w:t xml:space="preserve">Ongoing consumables</w:t>
      </w:r>
      <w:r>
        <w:t xml:space="preserve">: annual special education budget plus individual-directed funding where students have eligible allocations.</w:t>
      </w:r>
    </w:p>
    <w:p>
      <w:pPr>
        <w:pStyle w:val="ListParagraph"/>
        <w:numPr>
          <w:ilvl w:val="0"/>
          <w:numId w:val="2"/>
        </w:numPr>
        <w:spacing w:after="40" w:before="40"/>
      </w:pPr>
      <w:r>
        <w:rPr>
          <w:b/>
          <w:bCs/>
        </w:rPr>
        <w:t xml:space="preserve">Programme sustainability</w:t>
      </w:r>
      <w:r>
        <w:t xml:space="preserve">: for adult or community settings, disability employment services contract (CLBC, PDD, ODSP-ES, CLDS) as the steady revenue line.</w:t>
      </w:r>
    </w:p>
    <w:p>
      <w:pPr>
        <w:spacing w:after="80" w:before="80"/>
      </w:pPr>
      <w:r>
        <w:t xml:space="preserve">For Indigenous communities: ISC education capital plus Jordan's Principle (for individual children) plus ISET (for workforce-age learners) is the standard combination, with a community foundation grant for any match.</w:t>
      </w:r>
    </w:p>
    <w:sectPr>
      <w:headerReference w:type="default" r:id="rId7"/>
      <w:footerReference w:type="default" r:id="rId8"/>
      <w:pgSz w:w="12240" w:h="15840" w:orient="portrait"/>
      <w:pgMar w:top="216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PAES Productions, LLC  ·  145 W Broadway, Suite 20, Mesa, AZ 85210  ·  Page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color w:val="6B7280"/>
        <w:sz w:val="16"/>
        <w:szCs w:val="16"/>
      </w:rPr>
      <w:t xml:space="preserve"> of </w:t>
    </w:r>
    <w:r>
      <w:rPr>
        <w:rFonts w:ascii="Arial" w:cs="Arial" w:eastAsia="Arial" w:hAnsi="Arial"/>
        <w:color w:val="6B728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left"/>
    </w:pPr>
    <w:r>
      <w:drawing>
        <wp:inline distT="0" distB="0" distL="0" distR="0">
          <wp:extent cx="5486400" cy="895350"/>
          <wp:effectExtent t="0" r="0" b="0" l="0"/>
          <wp:docPr id="1" name="paes_logo" descr="PAES Productions banner" title="P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8640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0F2E4C"/>
      <w:sz w:val="40"/>
      <w:szCs w:val="40"/>
    </w:rPr>
  </w:style>
  <w:style w:type="paragraph" w:styleId="Heading2">
    <w:name w:val="Heading 2"/>
    <w:basedOn w:val="Normal"/>
    <w:next w:val="Normal"/>
    <w:qFormat/>
    <w:pPr>
      <w:spacing w:after="160" w:before="360"/>
      <w:outlineLvl w:val="1"/>
    </w:pPr>
    <w:rPr>
      <w:rFonts w:ascii="Arial" w:cs="Arial" w:eastAsia="Arial" w:hAnsi="Arial"/>
      <w:b/>
      <w:bCs/>
      <w:color w:val="0F2E4C"/>
      <w:sz w:val="30"/>
      <w:szCs w:val="30"/>
    </w:rPr>
  </w:style>
  <w:style w:type="paragraph" w:styleId="Heading3">
    <w:name w:val="Heading 3"/>
    <w:basedOn w:val="Normal"/>
    <w:next w:val="Normal"/>
    <w:qFormat/>
    <w:pPr>
      <w:spacing w:after="120" w:before="240"/>
      <w:outlineLvl w:val="2"/>
    </w:pPr>
    <w:rPr>
      <w:rFonts w:ascii="Arial" w:cs="Arial" w:eastAsia="Arial" w:hAnsi="Arial"/>
      <w:b/>
      <w:bCs/>
      <w:color w:val="1D8B8B"/>
      <w:sz w:val="26"/>
      <w:szCs w:val="26"/>
    </w:rPr>
  </w:style>
  <w:style w:type="paragraph" w:styleId="Heading4">
    <w:name w:val="Heading 4"/>
    <w:basedOn w:val="Normal"/>
    <w:next w:val="Normal"/>
    <w:qFormat/>
    <w:pPr>
      <w:spacing w:after="100" w:before="180"/>
      <w:outlineLvl w:val="3"/>
    </w:pPr>
    <w:rPr>
      <w:rFonts w:ascii="Arial" w:cs="Arial" w:eastAsia="Arial" w:hAnsi="Arial"/>
      <w:b/>
      <w:bCs/>
      <w:color w:val="0F2E4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7yjll2lykoqh4vp20i99" Type="http://schemas.openxmlformats.org/officeDocument/2006/relationships/hyperlink" Target="https://paesproductions.com" TargetMode="External"/><Relationship Id="rIdv12orz7x__vhxbmcidnpj" Type="http://schemas.openxmlformats.org/officeDocument/2006/relationships/hyperlink" Target="https://www.canada.ca/en/employment-social-development/programs/opportunity-fund-disability.html" TargetMode="External"/><Relationship Id="rIdidh40tsdhn6-ce04ndb91" Type="http://schemas.openxmlformats.org/officeDocument/2006/relationships/hyperlink" Target="https://www.canada.ca/en/employment-social-development/services/funding/disability-opportunity-national-regional.html" TargetMode="External"/><Relationship Id="rIdk-6-cgktdzh-nl19ukpk9" Type="http://schemas.openxmlformats.org/officeDocument/2006/relationships/hyperlink" Target="https://www.canada.ca/en/employment-social-development/programs/training-agreements.html" TargetMode="External"/><Relationship Id="rIdwgjwwbnclijbqcfojaqnp" Type="http://schemas.openxmlformats.org/officeDocument/2006/relationships/hyperlink" Target="https://www.canada.ca/en/employment-social-development/programs/training-agreements/workforce-development-agreements.html" TargetMode="External"/><Relationship Id="rIdlxlzjpygzihdusqzp95mt" Type="http://schemas.openxmlformats.org/officeDocument/2006/relationships/hyperlink" Target="https://www.canada.ca/en/employment-social-development/programs/skills-success.html" TargetMode="External"/><Relationship Id="rId8nq3wlul5k2bxsevezm2a" Type="http://schemas.openxmlformats.org/officeDocument/2006/relationships/hyperlink" Target="https://www.canada.ca/en/employment-social-development/programs/indigenous-skills-employment-training.html" TargetMode="External"/><Relationship Id="rId9gqdvpnuawb8ay9mpspi1" Type="http://schemas.openxmlformats.org/officeDocument/2006/relationships/hyperlink" Target="https://www.canada.ca/en/employment-social-development/programs/indigenous-skills-employment-training/service-delivery-organizations.html" TargetMode="External"/><Relationship Id="rIdlciaqvnmnuntim7kn-0em" Type="http://schemas.openxmlformats.org/officeDocument/2006/relationships/hyperlink" Target="https://www.canada.ca/en/employment-social-development/services/funding/enabling-accessibility-fund-contribution.html" TargetMode="External"/><Relationship Id="rIdr7ef3g8twe87yr2xrqxgz" Type="http://schemas.openxmlformats.org/officeDocument/2006/relationships/hyperlink" Target="https://www.canada.ca/en/employment-social-development/services/funding/programs.html" TargetMode="External"/><Relationship Id="rIdla_cc_o4k_shm58ppxssq" Type="http://schemas.openxmlformats.org/officeDocument/2006/relationships/hyperlink" Target="https://www.ontario.ca/page/ministry-education" TargetMode="External"/><Relationship Id="rIdrisiu9gio20r6s_ykthw6" Type="http://schemas.openxmlformats.org/officeDocument/2006/relationships/hyperlink" Target="https://www.ontario.ca/page/guide-2025-2026-special-education-fund" TargetMode="External"/><Relationship Id="rIdwirs1tyjycrr-0yv-wzec" Type="http://schemas.openxmlformats.org/officeDocument/2006/relationships/hyperlink" Target="https://www.ontario.ca/page/ontario-disability-support-program" TargetMode="External"/><Relationship Id="rIdt9zcmf35re2bn9aggvdgv" Type="http://schemas.openxmlformats.org/officeDocument/2006/relationships/hyperlink" Target="https://www.quebec.ca/en/education" TargetMode="External"/><Relationship Id="rIdlbd8s6u2yzwszmiccyhv4" Type="http://schemas.openxmlformats.org/officeDocument/2006/relationships/hyperlink" Target="https://www.quebec.ca/en/education/preschool-elementary-and-secondary-schools/resources-tools-school-network/students-handicaps-disabilities-social-maladjustments-learning-difficulties" TargetMode="External"/><Relationship Id="rIdbjsrtzntlykywqijvpfp3" Type="http://schemas.openxmlformats.org/officeDocument/2006/relationships/hyperlink" Target="https://www.ophq.gouv.qc.ca/" TargetMode="External"/><Relationship Id="rId6buxeipcu-rdit3gw0p7d" Type="http://schemas.openxmlformats.org/officeDocument/2006/relationships/hyperlink" Target="https://www2.gov.bc.ca/gov/content/governments/organizational-structure/ministries-organizations/ministries/education-and-child-care" TargetMode="External"/><Relationship Id="rIdkroyebccgbntd6njopt-c" Type="http://schemas.openxmlformats.org/officeDocument/2006/relationships/hyperlink" Target="https://www2.gov.bc.ca/gov/content/education-training/k-12/administration/legislation-policy/public-schools/k-12-funding-inclusive-education" TargetMode="External"/><Relationship Id="rIdg-5bwrv4ljejzvjss0xcf" Type="http://schemas.openxmlformats.org/officeDocument/2006/relationships/hyperlink" Target="https://www.workbc.ca/" TargetMode="External"/><Relationship Id="rIdprzwk5fj6di-ba0ex8sum" Type="http://schemas.openxmlformats.org/officeDocument/2006/relationships/hyperlink" Target="https://www.communitylivingbc.ca/what-support-is-available/supports-to-participate-in-your-community/employment-support/" TargetMode="External"/><Relationship Id="rIdkphugyflxjf1flijygmxc" Type="http://schemas.openxmlformats.org/officeDocument/2006/relationships/hyperlink" Target="https://www.alberta.ca/education.aspx" TargetMode="External"/><Relationship Id="rIdku89e9stjtl45saay4ybl" Type="http://schemas.openxmlformats.org/officeDocument/2006/relationships/hyperlink" Target="https://education.alberta.ca/career-and-technology-studies/" TargetMode="External"/><Relationship Id="rId4cknyyybfgw6des1ezhrm" Type="http://schemas.openxmlformats.org/officeDocument/2006/relationships/hyperlink" Target="https://www.alberta.ca/enhancement-funding-for-schools" TargetMode="External"/><Relationship Id="rIdmqeqg-5xfccpcc3iagkdq" Type="http://schemas.openxmlformats.org/officeDocument/2006/relationships/hyperlink" Target="https://www.alberta.ca/persons-with-developmental-disabilities-pdd" TargetMode="External"/><Relationship Id="rId72ti2kx5fp_46wyxydj34" Type="http://schemas.openxmlformats.org/officeDocument/2006/relationships/hyperlink" Target="https://www.edu.gov.mb.ca/" TargetMode="External"/><Relationship Id="rId7eqkdondyzulgizhvk2ca" Type="http://schemas.openxmlformats.org/officeDocument/2006/relationships/hyperlink" Target="https://www.edu.gov.mb.ca/k12/specedu/funding/index.html" TargetMode="External"/><Relationship Id="rIdam4v474lwzkibb_jo-qvo" Type="http://schemas.openxmlformats.org/officeDocument/2006/relationships/hyperlink" Target="https://www.gov.mb.ca/fs/clds/" TargetMode="External"/><Relationship Id="rIdc8pwvs95u0yn1eii-6ucz" Type="http://schemas.openxmlformats.org/officeDocument/2006/relationships/hyperlink" Target="https://www.saskatchewan.ca/government/government-structure/ministries/education" TargetMode="External"/><Relationship Id="rIdedq_fwi329chlojjjsqqv" Type="http://schemas.openxmlformats.org/officeDocument/2006/relationships/hyperlink" Target="https://www.saskatchewan.ca/residents/education-and-learning/prek-12-education-early-learning-and-schools/supporting-students-with-additional-needs" TargetMode="External"/><Relationship Id="rIdz-fyotw9ufwg96jv1kukt" Type="http://schemas.openxmlformats.org/officeDocument/2006/relationships/hyperlink" Target="https://www.ednet.ns.ca/" TargetMode="External"/><Relationship Id="rIdylhzxov6xqfvwpshsaxxu" Type="http://schemas.openxmlformats.org/officeDocument/2006/relationships/hyperlink" Target="https://www.ednet.ns.ca/inclusive-education" TargetMode="External"/><Relationship Id="rIdon1k2q9ko30e8m00hobkl" Type="http://schemas.openxmlformats.org/officeDocument/2006/relationships/hyperlink" Target="https://beta.novascotia.ca/programs-and-services/disability-support-program" TargetMode="External"/><Relationship Id="rIdhp-bgvh11pbakd7nugnbb" Type="http://schemas.openxmlformats.org/officeDocument/2006/relationships/hyperlink" Target="https://www2.gnb.ca/content/gnb/en/departments/education.html" TargetMode="External"/><Relationship Id="rId45-ov36ol-lohwggda3ku" Type="http://schemas.openxmlformats.org/officeDocument/2006/relationships/hyperlink" Target="https://www.princeedwardisland.ca/en/topic/education" TargetMode="External"/><Relationship Id="rIddssud_dyutz6cok0bopoi" Type="http://schemas.openxmlformats.org/officeDocument/2006/relationships/hyperlink" Target="https://www.gov.nl.ca/education/" TargetMode="External"/><Relationship Id="rIdidgz0hspxz9ab0s627jfh" Type="http://schemas.openxmlformats.org/officeDocument/2006/relationships/hyperlink" Target="https://www.k12pl.nl.ca/studentss.html" TargetMode="External"/><Relationship Id="rIdr45jdp7rr_lbfqk9maxo-" Type="http://schemas.openxmlformats.org/officeDocument/2006/relationships/hyperlink" Target="https://yukon.ca/en/your-government/departments/department-education" TargetMode="External"/><Relationship Id="rIdsct4lh7hal7z16nujny7s" Type="http://schemas.openxmlformats.org/officeDocument/2006/relationships/hyperlink" Target="https://yukon.ca/en/your-government/find-out-what-government-doing/reimagining-inclusive-and-special-education-yukon" TargetMode="External"/><Relationship Id="rIdxbwexuhngfxkvxpkueevj" Type="http://schemas.openxmlformats.org/officeDocument/2006/relationships/hyperlink" Target="https://www.ece.gov.nt.ca/en" TargetMode="External"/><Relationship Id="rIdr1kpsevne6yddjbln6nj_" Type="http://schemas.openxmlformats.org/officeDocument/2006/relationships/hyperlink" Target="https://www.ece.gov.nt.ca/en/services/student-support-and-wellness/inclusive-schooling" TargetMode="External"/><Relationship Id="rId29fsku-1ah66j3n57gpyu" Type="http://schemas.openxmlformats.org/officeDocument/2006/relationships/hyperlink" Target="https://www.gov.nu.ca/en/education-and-schools" TargetMode="External"/><Relationship Id="rIdb18grynkrk3jinisqlhz9" Type="http://schemas.openxmlformats.org/officeDocument/2006/relationships/hyperlink" Target="https://www.canada.ca/en/services/benefits/education/student-aid/grants-loans/disabilities.html" TargetMode="External"/><Relationship Id="rIdkgag67ylhua65fntrgvz5" Type="http://schemas.openxmlformats.org/officeDocument/2006/relationships/hyperlink" Target="https://readywillingable.ca/" TargetMode="External"/><Relationship Id="rIdjbkxjjdviv-rli22x4snz" Type="http://schemas.openxmlformats.org/officeDocument/2006/relationships/hyperlink" Target="https://www.sac-isc.gc.ca/eng/1568396042341/1568396159824" TargetMode="External"/><Relationship Id="rId0ay4_gwinh6oxedthntp8" Type="http://schemas.openxmlformats.org/officeDocument/2006/relationships/hyperlink" Target="https://www.rickhansen.com/become-accessible/rick-hansen-school-program" TargetMode="External"/><Relationship Id="rIdwjf1bhlsf9s8bo2yeb8eq" Type="http://schemas.openxmlformats.org/officeDocument/2006/relationships/hyperlink" Target="https://www.alberta.ca/fscd" TargetMode="External"/><Relationship Id="rIduyidree_y3vy_pe1zgjjt" Type="http://schemas.openxmlformats.org/officeDocument/2006/relationships/hyperlink" Target="https://www.ontario.ca/page/special-services-at-home" TargetMode="External"/><Relationship Id="rIdxpx7hjnxonoiw6dkf-6u5" Type="http://schemas.openxmlformats.org/officeDocument/2006/relationships/hyperlink" Target="https://www2.gov.bc.ca/gov/content/health/managing-your-health/child-behaviour-development/support-needs/autism-spectrum-disorder/autism-funding" TargetMode="External"/><Relationship Id="rIdtvqourmlwgbvhrbxslsqk" Type="http://schemas.openxmlformats.org/officeDocument/2006/relationships/hyperlink" Target="https://otf.ca/" TargetMode="External"/><Relationship Id="rIdjje6ppqp4968u-n3y0icc" Type="http://schemas.openxmlformats.org/officeDocument/2006/relationships/hyperlink" Target="https://azrielifoundation.org/" TargetMode="External"/><Relationship Id="rIdbtiol4plv9q6y6ex-9ldt" Type="http://schemas.openxmlformats.org/officeDocument/2006/relationships/hyperlink" Target="https://mcconnellfoundation.ca/" TargetMode="External"/><Relationship Id="rIdfuejkp9pio1lf4l_gmpwc" Type="http://schemas.openxmlformats.org/officeDocument/2006/relationships/hyperlink" Target="https://www.vancouverfoundation.ca/" TargetMode="External"/><Relationship Id="rId6ptgv8kzbstekh66virnw" Type="http://schemas.openxmlformats.org/officeDocument/2006/relationships/hyperlink" Target="https://www.ecfoundation.org/" TargetMode="External"/><Relationship Id="rIdgv7flek1n130592ytlm5n" Type="http://schemas.openxmlformats.org/officeDocument/2006/relationships/hyperlink" Target="https://www.wpgfdn.org/" TargetMode="External"/><Relationship Id="rId2mepmfaabog7qe_myajm2" Type="http://schemas.openxmlformats.org/officeDocument/2006/relationships/hyperlink" Target="https://calgaryfoundation.org/" TargetMode="External"/><Relationship Id="rIdo_x7qm4w_30oqru-d3pvv" Type="http://schemas.openxmlformats.org/officeDocument/2006/relationships/hyperlink" Target="https://torontofoundation.ca/" TargetMode="External"/><Relationship Id="rIdoyq1lzdzdqm0unjzt-t_p" Type="http://schemas.openxmlformats.org/officeDocument/2006/relationships/hyperlink" Target="https://unitedway.ca/" TargetMode="External"/><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6814a74992c44f748ee079e793fdaef065d5f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2026-04-22T18:04:57.964Z</dcterms:created>
  <dcterms:modified xsi:type="dcterms:W3CDTF">2026-04-22T18:04:57.964Z</dcterms:modified>
</cp:coreProperties>
</file>

<file path=docProps/custom.xml><?xml version="1.0" encoding="utf-8"?>
<Properties xmlns="http://schemas.openxmlformats.org/officeDocument/2006/custom-properties" xmlns:vt="http://schemas.openxmlformats.org/officeDocument/2006/docPropsVTypes"/>
</file>