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color w:val="0F2E4C"/>
          <w:sz w:val="44"/>
          <w:szCs w:val="44"/>
        </w:rPr>
        <w:t xml:space="preserve">PAES + the IEP</w:t>
      </w:r>
    </w:p>
    <w:p>
      <w:pPr>
        <w:spacing w:after="80" w:before="80"/>
      </w:pPr>
      <w:r>
        <w:rPr>
          <w:rFonts w:ascii="Arial" w:cs="Arial" w:eastAsia="Arial" w:hAnsi="Arial"/>
          <w:i/>
          <w:iCs/>
          <w:color w:val="333333"/>
          <w:sz w:val="22"/>
          <w:szCs w:val="22"/>
        </w:rPr>
        <w:t xml:space="preserve">How PAES supports IEP development, annual review, and Indicator 13 transition planning.</w:t>
      </w:r>
    </w:p>
    <w:p>
      <w:pPr>
        <w:spacing w:after="180" w:before="0"/>
      </w:pPr>
      <w:r>
        <w:rPr>
          <w:rFonts w:ascii="Arial" w:cs="Arial" w:eastAsia="Arial" w:hAnsi="Arial"/>
        </w:rPr>
        <w:t xml:space="preserve"/>
      </w:r>
    </w:p>
    <w:p>
      <w:pPr>
        <w:pStyle w:val="Heading2"/>
      </w:pPr>
      <w:r>
        <w:rPr>
          <w:rFonts w:ascii="Arial" w:cs="Arial" w:eastAsia="Arial" w:hAnsi="Arial"/>
        </w:rPr>
        <w:t xml:space="preserve">What the IEP needs from vocational assessment</w:t>
      </w:r>
    </w:p>
    <w:p>
      <w:pPr>
        <w:spacing w:after="80" w:before="80"/>
      </w:pPr>
      <w:r>
        <w:rPr>
          <w:rFonts w:ascii="Arial" w:cs="Arial" w:eastAsia="Arial" w:hAnsi="Arial"/>
        </w:rPr>
        <w:t xml:space="preserve">A strong IEP is grounded in evidence. For transition-age students, the evidence has to speak to more than academic performance. It has to speak to employment readiness, independent living, community participation, and post-school pathways. That is where traditional vocational assessment often falls short: paper-based tools ask students to report on work they have never done.</w:t>
      </w:r>
    </w:p>
    <w:p>
      <w:pPr>
        <w:spacing w:after="80" w:before="80"/>
      </w:pPr>
      <w:r>
        <w:rPr>
          <w:rFonts w:ascii="Arial" w:cs="Arial" w:eastAsia="Arial" w:hAnsi="Arial"/>
        </w:rPr>
        <w:t xml:space="preserve">PAES gives teams a different kind of evidence. Students perform real work tasks in a structured lab across five vocational areas. Practitioners observe, score, and accumulate data over a full cycle. The output is not an aptitude score; it is a record of what the student did, under what conditions, with what supports.</w:t>
      </w:r>
    </w:p>
    <w:p>
      <w:pPr>
        <w:pStyle w:val="Heading2"/>
      </w:pPr>
      <w:r>
        <w:rPr>
          <w:rFonts w:ascii="Arial" w:cs="Arial" w:eastAsia="Arial" w:hAnsi="Arial"/>
        </w:rPr>
        <w:t xml:space="preserve">Where PAES data lands in the IEP</w:t>
      </w:r>
    </w:p>
    <w:p>
      <w:pPr>
        <w:pStyle w:val="Heading3"/>
      </w:pPr>
      <w:r>
        <w:rPr>
          <w:rFonts w:ascii="Arial" w:cs="Arial" w:eastAsia="Arial" w:hAnsi="Arial"/>
        </w:rPr>
        <w:t xml:space="preserve">Present Levels of Academic Achievement and Functional Performance (PLAAFP)</w:t>
      </w:r>
    </w:p>
    <w:p>
      <w:pPr>
        <w:spacing w:after="80" w:before="80"/>
      </w:pPr>
      <w:r>
        <w:rPr>
          <w:rFonts w:ascii="Arial" w:cs="Arial" w:eastAsia="Arial" w:hAnsi="Arial"/>
        </w:rPr>
        <w:t xml:space="preserve">PAES output becomes direct evidence for the functional performance portion of the PLAAFP. Work behaviours, independence levels, task completion rates, and vocational strengths are documented with specific examples.</w:t>
      </w:r>
    </w:p>
    <w:p>
      <w:pPr>
        <w:pStyle w:val="Heading3"/>
      </w:pPr>
      <w:r>
        <w:rPr>
          <w:rFonts w:ascii="Arial" w:cs="Arial" w:eastAsia="Arial" w:hAnsi="Arial"/>
        </w:rPr>
        <w:t xml:space="preserve">Measurable Annual Goals</w:t>
      </w:r>
    </w:p>
    <w:p>
      <w:pPr>
        <w:spacing w:after="80" w:before="80"/>
      </w:pPr>
      <w:r>
        <w:rPr>
          <w:rFonts w:ascii="Arial" w:cs="Arial" w:eastAsia="Arial" w:hAnsi="Arial"/>
        </w:rPr>
        <w:t xml:space="preserve">PAES data identifies where students are plateauing, where they are progressing, and where targeted instruction would accelerate gains. Annual goals drafted from PAES data are measurable, specific, and tied to concrete behaviours the team has observed.</w:t>
      </w:r>
    </w:p>
    <w:p>
      <w:pPr>
        <w:pStyle w:val="Heading3"/>
      </w:pPr>
      <w:r>
        <w:rPr>
          <w:rFonts w:ascii="Arial" w:cs="Arial" w:eastAsia="Arial" w:hAnsi="Arial"/>
        </w:rPr>
        <w:t xml:space="preserve">Transition Services and Post-School Goals (Indicator 13)</w:t>
      </w:r>
    </w:p>
    <w:p>
      <w:pPr>
        <w:spacing w:after="80" w:before="80"/>
      </w:pPr>
      <w:r>
        <w:rPr>
          <w:rFonts w:ascii="Arial" w:cs="Arial" w:eastAsia="Arial" w:hAnsi="Arial"/>
        </w:rPr>
        <w:t xml:space="preserve">Indicator 13 requires that transition plans include measurable post-school goals in education, employment, and (where appropriate) independent living. PAES provides the evidence base for defensible employment goals, and the vocational profile that informs the education and training pathway.</w:t>
      </w:r>
    </w:p>
    <w:p>
      <w:pPr>
        <w:pStyle w:val="Heading3"/>
      </w:pPr>
      <w:r>
        <w:rPr>
          <w:rFonts w:ascii="Arial" w:cs="Arial" w:eastAsia="Arial" w:hAnsi="Arial"/>
        </w:rPr>
        <w:t xml:space="preserve">Related Services</w:t>
      </w:r>
    </w:p>
    <w:p>
      <w:pPr>
        <w:spacing w:after="80" w:before="80"/>
      </w:pPr>
      <w:r>
        <w:rPr>
          <w:rFonts w:ascii="Arial" w:cs="Arial" w:eastAsia="Arial" w:hAnsi="Arial"/>
        </w:rPr>
        <w:t xml:space="preserve">Where PAES assessment is documented as a related service, districts in participating states may claim school-based Medicaid reimbursement for eligible student time. Check with your district Medicaid coordinator.</w:t>
      </w:r>
    </w:p>
    <w:p>
      <w:pPr>
        <w:pStyle w:val="Heading2"/>
      </w:pPr>
      <w:r>
        <w:rPr>
          <w:rFonts w:ascii="Arial" w:cs="Arial" w:eastAsia="Arial" w:hAnsi="Arial"/>
        </w:rPr>
        <w:t xml:space="preserve">The practical workflow</w:t>
      </w:r>
    </w:p>
    <w:p>
      <w:pPr>
        <w:pStyle w:val="ListParagraph"/>
        <w:numPr>
          <w:ilvl w:val="0"/>
          <w:numId w:val="2"/>
        </w:numPr>
        <w:spacing w:after="40" w:before="40"/>
      </w:pPr>
      <w:r>
        <w:rPr>
          <w:rFonts w:ascii="Arial" w:cs="Arial" w:eastAsia="Arial" w:hAnsi="Arial"/>
        </w:rPr>
        <w:t xml:space="preserve">Students complete a PAES assessment cycle (typically 12 to 18 weeks, 2 to 4 sessions per week)</w:t>
      </w:r>
    </w:p>
    <w:p>
      <w:pPr>
        <w:pStyle w:val="ListParagraph"/>
        <w:numPr>
          <w:ilvl w:val="0"/>
          <w:numId w:val="2"/>
        </w:numPr>
        <w:spacing w:after="40" w:before="40"/>
      </w:pPr>
      <w:r>
        <w:rPr>
          <w:rFonts w:ascii="Arial" w:cs="Arial" w:eastAsia="Arial" w:hAnsi="Arial"/>
        </w:rPr>
        <w:t xml:space="preserve">Practitioners score in real time using the PAES Scan 2.0 App</w:t>
      </w:r>
    </w:p>
    <w:p>
      <w:pPr>
        <w:pStyle w:val="ListParagraph"/>
        <w:numPr>
          <w:ilvl w:val="0"/>
          <w:numId w:val="2"/>
        </w:numPr>
        <w:spacing w:after="40" w:before="40"/>
      </w:pPr>
      <w:r>
        <w:rPr>
          <w:rFonts w:ascii="Arial" w:cs="Arial" w:eastAsia="Arial" w:hAnsi="Arial"/>
        </w:rPr>
        <w:t xml:space="preserve">At the end of the cycle, a detailed student report is generated</w:t>
      </w:r>
    </w:p>
    <w:p>
      <w:pPr>
        <w:pStyle w:val="ListParagraph"/>
        <w:numPr>
          <w:ilvl w:val="0"/>
          <w:numId w:val="2"/>
        </w:numPr>
        <w:spacing w:after="40" w:before="40"/>
      </w:pPr>
      <w:r>
        <w:rPr>
          <w:rFonts w:ascii="Arial" w:cs="Arial" w:eastAsia="Arial" w:hAnsi="Arial"/>
        </w:rPr>
        <w:t xml:space="preserve">IEP-ready recommendations in the report are drafted in PLAAFP and goal-language ready format</w:t>
      </w:r>
    </w:p>
    <w:p>
      <w:pPr>
        <w:pStyle w:val="ListParagraph"/>
        <w:numPr>
          <w:ilvl w:val="0"/>
          <w:numId w:val="2"/>
        </w:numPr>
        <w:spacing w:after="40" w:before="40"/>
      </w:pPr>
      <w:r>
        <w:rPr>
          <w:rFonts w:ascii="Arial" w:cs="Arial" w:eastAsia="Arial" w:hAnsi="Arial"/>
        </w:rPr>
        <w:t xml:space="preserve">Teachers lift sections straight into IEP drafts during annual reviews</w:t>
      </w:r>
    </w:p>
    <w:p>
      <w:pPr>
        <w:pStyle w:val="ListParagraph"/>
        <w:numPr>
          <w:ilvl w:val="0"/>
          <w:numId w:val="2"/>
        </w:numPr>
        <w:spacing w:after="40" w:before="40"/>
      </w:pPr>
      <w:r>
        <w:rPr>
          <w:rFonts w:ascii="Arial" w:cs="Arial" w:eastAsia="Arial" w:hAnsi="Arial"/>
        </w:rPr>
        <w:t xml:space="preserve">Transition planning notes align with Indicator 13 requirements</w:t>
      </w:r>
    </w:p>
    <w:p>
      <w:pPr>
        <w:pStyle w:val="Heading2"/>
      </w:pPr>
      <w:r>
        <w:rPr>
          <w:rFonts w:ascii="Arial" w:cs="Arial" w:eastAsia="Arial" w:hAnsi="Arial"/>
        </w:rPr>
        <w:t xml:space="preserve">What families see</w:t>
      </w:r>
    </w:p>
    <w:p>
      <w:pPr>
        <w:spacing w:after="80" w:before="80"/>
      </w:pPr>
      <w:r>
        <w:rPr>
          <w:rFonts w:ascii="Arial" w:cs="Arial" w:eastAsia="Arial" w:hAnsi="Arial"/>
        </w:rPr>
        <w:t xml:space="preserve">The PAES report leads with what the student can do. Not what they cannot. Families come to transition meetings worried. They leave with a plan. Students see themselves described as workers, not as cases.</w:t>
      </w:r>
    </w:p>
    <w:p>
      <w:pPr>
        <w:spacing w:after="80" w:before="80"/>
      </w:pPr>
      <w:r>
        <w:rPr>
          <w:rFonts w:ascii="Arial" w:cs="Arial" w:eastAsia="Arial" w:hAnsi="Arial"/>
          <w:i/>
          <w:iCs/>
        </w:rPr>
        <w:t xml:space="preserve">"PAES lets our students show us what they can do, not what they can’t." — PAES practitioner, 2026 customer survey.</w:t>
      </w:r>
    </w:p>
    <w:p>
      <w:pPr>
        <w:pStyle w:val="Heading2"/>
      </w:pPr>
      <w:r>
        <w:rPr>
          <w:rFonts w:ascii="Arial" w:cs="Arial" w:eastAsia="Arial" w:hAnsi="Arial"/>
        </w:rPr>
        <w:t xml:space="preserve">Get the PAES Lab into your programme</w:t>
      </w:r>
    </w:p>
    <w:p>
      <w:pPr>
        <w:spacing w:after="80" w:before="80"/>
      </w:pPr>
      <w:r>
        <w:rPr>
          <w:rFonts w:ascii="Arial" w:cs="Arial" w:eastAsia="Arial" w:hAnsi="Arial"/>
        </w:rPr>
        <w:t xml:space="preserve">PAES Labs are funded most often through IDEA Part B, Perkins V, state transition grants, and Medicaid school-based services. See the PAES funding guide for your state for the full picture. For a demo or a site visit, contact your regional rep.</w:t>
      </w:r>
    </w:p>
    <w:p>
      <w:pPr>
        <w:spacing w:after="80" w:before="80"/>
      </w:pPr>
      <w:r>
        <w:rPr>
          <w:rFonts w:ascii="Arial" w:cs="Arial" w:eastAsia="Arial" w:hAnsi="Arial"/>
        </w:rPr>
        <w:t xml:space="preserve">info@paesauthor.com  ·  +1 805-286-7513  ·  paesproductions.com/get-started</w:t>
      </w:r>
    </w:p>
    <w:sectPr>
      <w:headerReference w:type="default" r:id="rId7"/>
      <w:footerReference w:type="default" r:id="rId8"/>
      <w:pgSz w:w="12240" w:h="15840" w:orient="portrait"/>
      <w:pgMar w:top="216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7280"/>
        <w:sz w:val="16"/>
        <w:szCs w:val="16"/>
      </w:rPr>
      <w:t xml:space="preserve">PAES Productions, LLC  ·  145 W Broadway, Suite 20, Mesa, AZ 85210  ·  Page </w:t>
    </w:r>
    <w:r>
      <w:rPr>
        <w:rFonts w:ascii="Arial" w:cs="Arial" w:eastAsia="Arial" w:hAnsi="Arial"/>
        <w:color w:val="6B7280"/>
        <w:sz w:val="16"/>
        <w:szCs w:val="16"/>
      </w:rPr>
      <w:fldChar w:fldCharType="begin"/>
      <w:instrText xml:space="preserve">PAGE</w:instrText>
      <w:fldChar w:fldCharType="separate"/>
      <w:fldChar w:fldCharType="end"/>
    </w:r>
    <w:r>
      <w:rPr>
        <w:rFonts w:ascii="Arial" w:cs="Arial" w:eastAsia="Arial" w:hAnsi="Arial"/>
        <w:color w:val="6B7280"/>
        <w:sz w:val="16"/>
        <w:szCs w:val="16"/>
      </w:rPr>
      <w:t xml:space="preserve"> of </w:t>
    </w:r>
    <w:r>
      <w:rPr>
        <w:rFonts w:ascii="Arial" w:cs="Arial" w:eastAsia="Arial" w:hAnsi="Arial"/>
        <w:color w:val="6B7280"/>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jc w:val="left"/>
    </w:pPr>
    <w:r>
      <w:drawing>
        <wp:inline distT="0" distB="0" distL="0" distR="0">
          <wp:extent cx="5486400" cy="895350"/>
          <wp:effectExtent t="0" r="0" b="0" l="0"/>
          <wp:docPr id="1" name="paes_logo" descr="PAES Productions banner" title="PA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5486400" cy="8953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0F2E4C"/>
      <w:sz w:val="44"/>
      <w:szCs w:val="44"/>
    </w:rPr>
  </w:style>
  <w:style w:type="paragraph" w:styleId="Heading2">
    <w:name w:val="Heading 2"/>
    <w:basedOn w:val="Normal"/>
    <w:next w:val="Normal"/>
    <w:qFormat/>
    <w:pPr>
      <w:spacing w:after="140" w:before="280"/>
      <w:outlineLvl w:val="1"/>
    </w:pPr>
    <w:rPr>
      <w:rFonts w:ascii="Arial" w:cs="Arial" w:eastAsia="Arial" w:hAnsi="Arial"/>
      <w:b/>
      <w:bCs/>
      <w:color w:val="0F2E4C"/>
      <w:sz w:val="28"/>
      <w:szCs w:val="28"/>
    </w:rPr>
  </w:style>
  <w:style w:type="paragraph" w:styleId="Heading3">
    <w:name w:val="Heading 3"/>
    <w:basedOn w:val="Normal"/>
    <w:next w:val="Normal"/>
    <w:qFormat/>
    <w:pPr>
      <w:spacing w:after="100" w:before="200"/>
      <w:outlineLvl w:val="2"/>
    </w:pPr>
    <w:rPr>
      <w:rFonts w:ascii="Arial" w:cs="Arial" w:eastAsia="Arial" w:hAnsi="Arial"/>
      <w:b/>
      <w:bCs/>
      <w:color w:val="1D8B8B"/>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6814a74992c44f748ee079e793fdaef065d5f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2026-04-22T19:33:53.195Z</dcterms:created>
  <dcterms:modified xsi:type="dcterms:W3CDTF">2026-04-22T19:33:53.195Z</dcterms:modified>
</cp:coreProperties>
</file>

<file path=docProps/custom.xml><?xml version="1.0" encoding="utf-8"?>
<Properties xmlns="http://schemas.openxmlformats.org/officeDocument/2006/custom-properties" xmlns:vt="http://schemas.openxmlformats.org/officeDocument/2006/docPropsVTypes"/>
</file>