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0F2E4C"/>
          <w:sz w:val="44"/>
          <w:szCs w:val="44"/>
        </w:rPr>
        <w:t xml:space="preserve">PAES Research Summary</w:t>
      </w:r>
    </w:p>
    <w:p>
      <w:pPr>
        <w:spacing w:after="80" w:before="80"/>
      </w:pPr>
      <w:r>
        <w:rPr>
          <w:rFonts w:ascii="Arial" w:cs="Arial" w:eastAsia="Arial" w:hAnsi="Arial"/>
          <w:i/>
          <w:iCs/>
          <w:color w:val="333333"/>
          <w:sz w:val="22"/>
          <w:szCs w:val="22"/>
        </w:rPr>
        <w:t xml:space="preserve">Peer-reviewed at the instrument level. Refined in the field for 35+ years. Active multi-site outcome study in 2026.</w:t>
      </w:r>
    </w:p>
    <w:p>
      <w:pPr>
        <w:spacing w:after="180" w:before="0"/>
      </w:pPr>
      <w:r>
        <w:rPr>
          <w:rFonts w:ascii="Arial" w:cs="Arial" w:eastAsia="Arial" w:hAnsi="Arial"/>
        </w:rPr>
        <w:t xml:space="preserve"/>
      </w:r>
    </w:p>
    <w:p>
      <w:pPr>
        <w:pStyle w:val="Heading2"/>
      </w:pPr>
      <w:r>
        <w:rPr>
          <w:rFonts w:ascii="Arial" w:cs="Arial" w:eastAsia="Arial" w:hAnsi="Arial"/>
        </w:rPr>
        <w:t xml:space="preserve">Why the instrument-level validation matters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Most vocational assessment tools in this space validate programme outcomes: "students we worked with got jobs." That measures the programme, not the measurement. PAES validates the assessment tool itself. The scoring system, the inter-rater reliability, the predictive value, and the construct validity have all been through peer review. That distinction is the moat.</w:t>
      </w:r>
    </w:p>
    <w:p>
      <w:pPr>
        <w:pStyle w:val="Heading2"/>
      </w:pPr>
      <w:r>
        <w:rPr>
          <w:rFonts w:ascii="Arial" w:cs="Arial" w:eastAsia="Arial" w:hAnsi="Arial"/>
        </w:rPr>
        <w:t xml:space="preserve">The published evidence base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Foundational peer review: Educational Measurement, Issues and Practice (1999)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Companion paper presented at AERA (1999)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Predictive validity study: peer-reviewed examination of post-school outcome prediction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Content validity study: peer-reviewed examination of what the instrument measures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Founding doctoral dissertation: Dr. Judith Swisher, University of Kansas (1998)</w:t>
      </w:r>
    </w:p>
    <w:p>
      <w:pPr>
        <w:pStyle w:val="Heading2"/>
      </w:pPr>
      <w:r>
        <w:rPr>
          <w:rFonts w:ascii="Arial" w:cs="Arial" w:eastAsia="Arial" w:hAnsi="Arial"/>
        </w:rPr>
        <w:t xml:space="preserve">The 2026 customer survey (n=308)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In early 2026 we surveyed 308 active PAES practitioners across the United States and the United Kingdom. Every headline below is verified and sourced from the PAES Evidence Register.</w:t>
      </w:r>
    </w:p>
    <w:p>
      <w:pPr>
        <w:pStyle w:val="Heading3"/>
      </w:pPr>
      <w:r>
        <w:rPr>
          <w:rFonts w:ascii="Arial" w:cs="Arial" w:eastAsia="Arial" w:hAnsi="Arial"/>
        </w:rPr>
        <w:t xml:space="preserve">Overall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82% rate PAES positive overall (C01)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80% rate the credibility of PAES data as high (C03)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74% trust PAES data for high-stakes decisions (C04)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75% say PAES reduces subjectivity in decisions about students (C14)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76% rate PAES reporting as useful for planning and decisions (C13)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73% rate PAES as practical within their daily setting (C15)</w:t>
      </w:r>
    </w:p>
    <w:p>
      <w:pPr>
        <w:pStyle w:val="Heading3"/>
      </w:pPr>
      <w:r>
        <w:rPr>
          <w:rFonts w:ascii="Arial" w:cs="Arial" w:eastAsia="Arial" w:hAnsi="Arial"/>
        </w:rPr>
        <w:t xml:space="preserve">Strengths and engagement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81% say PAES reveals strengths traditional assessment misses (C02)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89% report improved student motivation (C05)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90% report improved on-task behaviour (C06)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90% report students following directions more reliably (C07)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88.6% report improved problem-solving (C08)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89% report improved adherence to rules and safety practices (C09)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80.8% say students needed less assistance over the programme (C10)</w:t>
      </w:r>
    </w:p>
    <w:p>
      <w:pPr>
        <w:pStyle w:val="Heading3"/>
      </w:pPr>
      <w:r>
        <w:rPr>
          <w:rFonts w:ascii="Arial" w:cs="Arial" w:eastAsia="Arial" w:hAnsi="Arial"/>
        </w:rPr>
        <w:t xml:space="preserve">Transition readiness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86% report students show increased transition readiness (C11)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77% report strong administrator support for PAES (C12)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</w:rPr>
        <w:t xml:space="preserve">Trained sites scored 0.3 to 0.7 points higher on impact items than untrained sites (C17)</w:t>
      </w:r>
    </w:p>
    <w:p>
      <w:pPr>
        <w:pStyle w:val="Heading3"/>
      </w:pPr>
      <w:r>
        <w:rPr>
          <w:rFonts w:ascii="Arial" w:cs="Arial" w:eastAsia="Arial" w:hAnsi="Arial"/>
        </w:rPr>
        <w:t xml:space="preserve">Honest about what the survey also showed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Only 53% reported improved student attendance, the weakest item in the survey (C16). We name it rather than hide it. PAES is not designed as an attendance intervention; its strength is in what happens once students are in the lab.</w:t>
      </w:r>
    </w:p>
    <w:p>
      <w:pPr>
        <w:pStyle w:val="Heading2"/>
      </w:pPr>
      <w:r>
        <w:rPr>
          <w:rFonts w:ascii="Arial" w:cs="Arial" w:eastAsia="Arial" w:hAnsi="Arial"/>
        </w:rPr>
        <w:t xml:space="preserve">The 2026 multi-site outcome study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A new multi-site outcome study launched in April 2026 across 5 to 8 pilot sites, with first results expected mid-2026. It refreshes the foundational evidence base and extends it into contemporary post-school outcomes. Results will be added to this summary once they clear academic review.</w:t>
      </w:r>
    </w:p>
    <w:p>
      <w:pPr>
        <w:pStyle w:val="Heading2"/>
      </w:pPr>
      <w:r>
        <w:rPr>
          <w:rFonts w:ascii="Arial" w:cs="Arial" w:eastAsia="Arial" w:hAnsi="Arial"/>
        </w:rPr>
        <w:t xml:space="preserve">For academics and research teams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If you are evaluating PAES for a research study, doctoral thesis, or meta-analysis, contact the PAES research team. We provide published papers, anonymised data (where ethics approval permits), connections to active PAES sites, and co-authorship or acknowledgement support as appropriate.</w:t>
      </w:r>
    </w:p>
    <w:p>
      <w:pPr>
        <w:spacing w:after="80" w:before="80"/>
      </w:pPr>
      <w:r>
        <w:rPr>
          <w:rFonts w:ascii="Arial" w:cs="Arial" w:eastAsia="Arial" w:hAnsi="Arial"/>
        </w:rPr>
        <w:t xml:space="preserve">research@paesauthor.com  ·  +1 805-286-7513</w:t>
      </w:r>
    </w:p>
    <w:sectPr>
      <w:headerReference w:type="default" r:id="rId7"/>
      <w:footerReference w:type="default" r:id="rId8"/>
      <w:pgSz w:w="12240" w:h="15840" w:orient="portrait"/>
      <w:pgMar w:top="2160" w:right="1080" w:bottom="144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PAES Productions, LLC  ·  145 W Broadway, Suite 20, Mesa, AZ 85210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7280"/>
        <w:sz w:val="16"/>
        <w:szCs w:val="16"/>
      </w:rPr>
      <w:t xml:space="preserve"> of </w:t>
    </w:r>
    <w:r>
      <w:rPr>
        <w:rFonts w:ascii="Arial" w:cs="Arial" w:eastAsia="Arial" w:hAnsi="Arial"/>
        <w:color w:val="6B7280"/>
        <w:sz w:val="16"/>
        <w:szCs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left"/>
    </w:pPr>
    <w:r>
      <w:drawing>
        <wp:inline distT="0" distB="0" distL="0" distR="0">
          <wp:extent cx="5486400" cy="895350"/>
          <wp:effectExtent t="0" r="0" b="0" l="0"/>
          <wp:docPr id="1" name="paes_logo" descr="PAES Productions banner" title="PA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rial" w:cs="Arial" w:eastAsia="Arial" w:hAnsi="Arial"/>
      <w:b/>
      <w:bCs/>
      <w:color w:val="0F2E4C"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0F2E4C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rial" w:cs="Arial" w:eastAsia="Arial" w:hAnsi="Arial"/>
      <w:b/>
      <w:bCs/>
      <w:color w:val="1D8B8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c6814a74992c44f748ee079e793fdaef065d5f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2026-04-22T19:33:53.185Z</dcterms:created>
  <dcterms:modified xsi:type="dcterms:W3CDTF">2026-04-22T19:33:53.185Z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