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200"/>
      </w:pPr>
      <w:r>
        <w:rPr>
          <w:rFonts w:ascii="Arial" w:cs="Arial" w:eastAsia="Arial" w:hAnsi="Arial"/>
          <w:b/>
          <w:bCs/>
          <w:color w:val="0F2E4C"/>
          <w:sz w:val="44"/>
          <w:szCs w:val="44"/>
        </w:rPr>
        <w:t xml:space="preserve">PAES: Measuring strengths, building futures.</w:t>
      </w:r>
    </w:p>
    <w:p>
      <w:pPr>
        <w:spacing w:after="80" w:before="8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peer-reviewed, performance-based assessment system that reveals what students and young adults can actually do in real work environments. Used in thousands of schools, specialist colleges, and workforce programmes since 1989.</w:t>
      </w:r>
    </w:p>
    <w:p>
      <w:pPr>
        <w:pStyle w:val="Heading2"/>
      </w:pPr>
      <w:r>
        <w:rPr>
          <w:rFonts w:ascii="Arial" w:cs="Arial" w:eastAsia="Arial" w:hAnsi="Arial"/>
        </w:rPr>
        <w:t xml:space="preserve">What PAES is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A physical lab with five vocational areas: Business &amp; Marketing, Construction &amp; Industrial, Consumer &amp; Service, Processing &amp; Production, and Computer Technology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Nearly 300 performance-based tasks across 8-10 job units per area, each at six progressive difficulty levels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A structured observation and scoring system, delivered via the PAES Scan 2.0 Mobile and Web App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A student report that feeds directly into IEPs, transition plans, and employment pathway conversations</w:t>
      </w:r>
    </w:p>
    <w:p>
      <w:pPr>
        <w:pStyle w:val="Heading2"/>
      </w:pPr>
      <w:r>
        <w:rPr>
          <w:rFonts w:ascii="Arial" w:cs="Arial" w:eastAsia="Arial" w:hAnsi="Arial"/>
        </w:rPr>
        <w:t xml:space="preserve">What makes PAES different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Most vocational assessment tools validate programme outcomes. PAES validates the measurement itself. The scoring system was peer-reviewed in Educational Measurement, Issues and Practice (1999) with a companion paper at AERA. Content validity and predictive validity have been published separately. That distinction matters when a district has to defend a placement decision, when a VR agency has to justify a Pre-ETS plan, or when a state reviewer asks "how do you know?".</w:t>
      </w:r>
    </w:p>
    <w:p>
      <w:pPr>
        <w:pStyle w:val="Heading2"/>
      </w:pPr>
      <w:r>
        <w:rPr>
          <w:rFonts w:ascii="Arial" w:cs="Arial" w:eastAsia="Arial" w:hAnsi="Arial"/>
        </w:rPr>
        <w:t xml:space="preserve">What practitioners say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86% report students show increased transition readiness (C11, 2026 customer survey, n=308)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82% rate PAES positive overall (C01)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81% say PAES reveals strengths traditional assessment misses (C02)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74% trust PAES data for high-stakes decisions (C04)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75% say PAES reduces subjectivity in decisions about students (C14)</w:t>
      </w:r>
    </w:p>
    <w:p>
      <w:pPr>
        <w:pStyle w:val="Heading2"/>
      </w:pPr>
      <w:r>
        <w:rPr>
          <w:rFonts w:ascii="Arial" w:cs="Arial" w:eastAsia="Arial" w:hAnsi="Arial"/>
        </w:rPr>
        <w:t xml:space="preserve">Who uses PAES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Special education and transition teams. Career and Technical Education programmes. State Vocational Rehabilitation agencies delivering Pre-ETS. Workforce boards funding youth employment programmes. Specialist colleges in the UK and Canada. PAES is designed for all learners, with particular strength for students with special needs.</w:t>
      </w:r>
    </w:p>
    <w:p>
      <w:pPr>
        <w:pStyle w:val="Heading2"/>
      </w:pPr>
      <w:r>
        <w:rPr>
          <w:rFonts w:ascii="Arial" w:cs="Arial" w:eastAsia="Arial" w:hAnsi="Arial"/>
        </w:rPr>
        <w:t xml:space="preserve">Funding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PAES qualifies for IDEA Part B, Perkins V, WIOA Pre-ETS, state transition grants, school-based Medicaid, and more. In the UK, funded through Dedicated Schools Grant, High Needs Provision Capital, EHCP top-ups, and charitable trusts. In Canada, through provincial special education allocations. For the full state-by-state (and province and devolved-nation) picture, see the PAES funding guide.</w:t>
      </w:r>
    </w:p>
    <w:p>
      <w:pPr>
        <w:pStyle w:val="Heading2"/>
      </w:pPr>
      <w:r>
        <w:rPr>
          <w:rFonts w:ascii="Arial" w:cs="Arial" w:eastAsia="Arial" w:hAnsi="Arial"/>
        </w:rPr>
        <w:t xml:space="preserve">Start the conversation</w:t>
      </w:r>
    </w:p>
    <w:p>
      <w:pPr>
        <w:spacing w:after="80" w:before="80"/>
      </w:pPr>
      <w:r>
        <w:rPr>
          <w:rFonts w:ascii="Arial" w:cs="Arial" w:eastAsia="Arial" w:hAnsi="Arial"/>
          <w:b/>
          <w:bCs/>
        </w:rPr>
        <w:t xml:space="preserve">For a quote or to book a demo: </w:t>
      </w:r>
      <w:hyperlink w:history="1" r:id="rId9bcfsst2ecyr6iyz5v6l5">
        <w:r>
          <w:rPr>
            <w:rFonts w:ascii="Arial" w:cs="Arial" w:eastAsia="Arial" w:hAnsi="Arial"/>
            <w:color w:val="1D8B8B"/>
            <w:u w:val="single"/>
          </w:rPr>
          <w:t xml:space="preserve">paesproductions.com/get-started</w:t>
        </w:r>
      </w:hyperlink>
    </w:p>
    <w:p>
      <w:pPr>
        <w:spacing w:after="80" w:before="80"/>
      </w:pPr>
      <w:r>
        <w:rPr>
          <w:rFonts w:ascii="Arial" w:cs="Arial" w:eastAsia="Arial" w:hAnsi="Arial"/>
          <w:b/>
          <w:bCs/>
        </w:rPr>
        <w:t xml:space="preserve">Rebekkah Swisher, President  ·  </w:t>
      </w:r>
      <w:r>
        <w:rPr>
          <w:rFonts w:ascii="Arial" w:cs="Arial" w:eastAsia="Arial" w:hAnsi="Arial"/>
        </w:rPr>
        <w:t xml:space="preserve">805-286-7513  ·  info@paesauthor.com</w:t>
      </w:r>
    </w:p>
    <w:sectPr>
      <w:headerReference w:type="default" r:id="rId7"/>
      <w:footerReference w:type="default" r:id="rId8"/>
      <w:pgSz w:w="12240" w:h="15840" w:orient="portrait"/>
      <w:pgMar w:top="2160" w:right="1080" w:bottom="144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PAES Productions, LLC  ·  145 W Broadway, Suite 20, Mesa, AZ 85210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of </w:t>
    </w:r>
    <w:r>
      <w:rPr>
        <w:rFonts w:ascii="Arial" w:cs="Arial" w:eastAsia="Arial" w:hAnsi="Arial"/>
        <w:color w:val="6B7280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left"/>
    </w:pPr>
    <w:r>
      <w:drawing>
        <wp:inline distT="0" distB="0" distL="0" distR="0">
          <wp:extent cx="5486400" cy="895350"/>
          <wp:effectExtent t="0" r="0" b="0" l="0"/>
          <wp:docPr id="1" name="paes_logo" descr="PAES Productions banner" title="PA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rial" w:cs="Arial" w:eastAsia="Arial" w:hAnsi="Arial"/>
      <w:b/>
      <w:bCs/>
      <w:color w:val="0F2E4C"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0F2E4C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1D8B8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bcfsst2ecyr6iyz5v6l5" Type="http://schemas.openxmlformats.org/officeDocument/2006/relationships/hyperlink" Target="https://paesproductions.com/get-starte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c6814a74992c44f748ee079e793fdaef065d5f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2026-04-22T19:33:53.165Z</dcterms:created>
  <dcterms:modified xsi:type="dcterms:W3CDTF">2026-04-22T19:33:53.165Z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